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0C716" w14:textId="77777777" w:rsidR="00545B3A" w:rsidRDefault="00224CE4" w:rsidP="00AC140D">
      <w:pPr>
        <w:jc w:val="center"/>
        <w:rPr>
          <w:rFonts w:ascii="Times New Roman" w:hAnsi="Times New Roman" w:cs="Times New Roman"/>
          <w:b/>
          <w:sz w:val="48"/>
          <w:szCs w:val="48"/>
          <w:u w:val="single"/>
        </w:rPr>
      </w:pPr>
      <w:r w:rsidRPr="004B73A1">
        <w:rPr>
          <w:rFonts w:ascii="Times New Roman" w:hAnsi="Times New Roman" w:cs="Times New Roman"/>
          <w:b/>
          <w:sz w:val="48"/>
          <w:szCs w:val="48"/>
          <w:u w:val="single"/>
        </w:rPr>
        <w:t>JURY CHARGE</w:t>
      </w:r>
      <w:r w:rsidR="005B7C97" w:rsidRPr="004B73A1">
        <w:rPr>
          <w:rFonts w:ascii="Times New Roman" w:hAnsi="Times New Roman" w:cs="Times New Roman"/>
          <w:b/>
          <w:sz w:val="48"/>
          <w:szCs w:val="48"/>
          <w:u w:val="single"/>
        </w:rPr>
        <w:t xml:space="preserve"> ISSUE</w:t>
      </w:r>
      <w:r w:rsidRPr="004B73A1">
        <w:rPr>
          <w:rFonts w:ascii="Times New Roman" w:hAnsi="Times New Roman" w:cs="Times New Roman"/>
          <w:b/>
          <w:sz w:val="48"/>
          <w:szCs w:val="48"/>
          <w:u w:val="single"/>
        </w:rPr>
        <w:t>S</w:t>
      </w:r>
    </w:p>
    <w:p w14:paraId="10325EED" w14:textId="77777777" w:rsidR="00545B3A" w:rsidRDefault="00545B3A" w:rsidP="00AC140D">
      <w:pPr>
        <w:jc w:val="center"/>
        <w:rPr>
          <w:rFonts w:ascii="Times New Roman" w:hAnsi="Times New Roman" w:cs="Times New Roman"/>
          <w:b/>
          <w:sz w:val="48"/>
          <w:szCs w:val="48"/>
          <w:u w:val="single"/>
        </w:rPr>
      </w:pPr>
    </w:p>
    <w:p w14:paraId="77706BF5" w14:textId="0A4AA92D" w:rsidR="00224CE4" w:rsidRPr="00B42AC7" w:rsidRDefault="00D86EBB" w:rsidP="00B42AC7">
      <w:pPr>
        <w:pStyle w:val="ListParagraph"/>
        <w:numPr>
          <w:ilvl w:val="0"/>
          <w:numId w:val="2"/>
        </w:numPr>
        <w:jc w:val="center"/>
        <w:rPr>
          <w:rFonts w:ascii="Times New Roman" w:hAnsi="Times New Roman" w:cs="Times New Roman"/>
          <w:b/>
          <w:sz w:val="36"/>
          <w:szCs w:val="36"/>
          <w:u w:val="single"/>
        </w:rPr>
      </w:pPr>
      <w:r w:rsidRPr="00B42AC7">
        <w:rPr>
          <w:rFonts w:ascii="Times New Roman" w:hAnsi="Times New Roman" w:cs="Times New Roman"/>
          <w:b/>
          <w:sz w:val="36"/>
          <w:szCs w:val="36"/>
          <w:u w:val="single"/>
        </w:rPr>
        <w:t xml:space="preserve">Is The Charge A </w:t>
      </w:r>
      <w:r w:rsidR="0018208A" w:rsidRPr="00B42AC7">
        <w:rPr>
          <w:rFonts w:ascii="Times New Roman" w:hAnsi="Times New Roman" w:cs="Times New Roman"/>
          <w:b/>
          <w:sz w:val="36"/>
          <w:szCs w:val="36"/>
          <w:u w:val="single"/>
        </w:rPr>
        <w:t>Correct Statement of Law</w:t>
      </w:r>
      <w:r w:rsidRPr="00B42AC7">
        <w:rPr>
          <w:rFonts w:ascii="Times New Roman" w:hAnsi="Times New Roman" w:cs="Times New Roman"/>
          <w:b/>
          <w:sz w:val="36"/>
          <w:szCs w:val="36"/>
          <w:u w:val="single"/>
        </w:rPr>
        <w:t>?</w:t>
      </w:r>
    </w:p>
    <w:p w14:paraId="2EEA893F" w14:textId="77777777" w:rsidR="00224CE4" w:rsidRDefault="00CC4971" w:rsidP="00D86EBB">
      <w:pPr>
        <w:rPr>
          <w:rFonts w:ascii="Times New Roman" w:eastAsia="Georgia" w:hAnsi="Times New Roman" w:cs="Times New Roman"/>
          <w:bCs/>
          <w:sz w:val="20"/>
          <w:szCs w:val="20"/>
        </w:rPr>
      </w:pPr>
      <w:r w:rsidRPr="007510A0">
        <w:rPr>
          <w:rFonts w:ascii="Times New Roman" w:hAnsi="Times New Roman" w:cs="Times New Roman"/>
          <w:sz w:val="24"/>
          <w:szCs w:val="24"/>
        </w:rPr>
        <w:t xml:space="preserve">Generally, the trial judge is required to charge only the current and correct law of South Carolina. </w:t>
      </w:r>
      <w:r w:rsidRPr="007510A0">
        <w:rPr>
          <w:rFonts w:ascii="Times New Roman" w:hAnsi="Times New Roman" w:cs="Times New Roman"/>
          <w:i/>
          <w:sz w:val="24"/>
          <w:szCs w:val="24"/>
        </w:rPr>
        <w:t>Sheppard v. State</w:t>
      </w:r>
      <w:r w:rsidRPr="007510A0">
        <w:rPr>
          <w:rFonts w:ascii="Times New Roman" w:hAnsi="Times New Roman" w:cs="Times New Roman"/>
          <w:sz w:val="24"/>
          <w:szCs w:val="24"/>
        </w:rPr>
        <w:t xml:space="preserve">, 357 S.C. 646, 665, 594 S.E.2d 462, 472-73 (2004); </w:t>
      </w:r>
      <w:r w:rsidRPr="007510A0">
        <w:rPr>
          <w:rFonts w:ascii="Times New Roman" w:hAnsi="Times New Roman" w:cs="Times New Roman"/>
          <w:i/>
          <w:sz w:val="24"/>
          <w:szCs w:val="24"/>
        </w:rPr>
        <w:t>State v. Brown</w:t>
      </w:r>
      <w:r w:rsidRPr="007510A0">
        <w:rPr>
          <w:rFonts w:ascii="Times New Roman" w:hAnsi="Times New Roman" w:cs="Times New Roman"/>
          <w:sz w:val="24"/>
          <w:szCs w:val="24"/>
        </w:rPr>
        <w:t xml:space="preserve">, 362 S.C. 258, 261-62, 607 S.E.2d 93, 95 (Ct. App. 2004). A jury charge is correct if it contains the correct definition of the law when read as a whole. Sheppard, 357 S.C. at 665, 594 S.E.2d at 473. Jury instructions should be considered as a whole, and if as a whole they are free from error, any isolated portions which may be misleading do not constitute reversible error. </w:t>
      </w:r>
      <w:r w:rsidRPr="007510A0">
        <w:rPr>
          <w:rFonts w:ascii="Times New Roman" w:hAnsi="Times New Roman" w:cs="Times New Roman"/>
          <w:i/>
          <w:sz w:val="24"/>
          <w:szCs w:val="24"/>
        </w:rPr>
        <w:t>State v. Aleksey</w:t>
      </w:r>
      <w:r w:rsidRPr="007510A0">
        <w:rPr>
          <w:rFonts w:ascii="Times New Roman" w:hAnsi="Times New Roman" w:cs="Times New Roman"/>
          <w:sz w:val="24"/>
          <w:szCs w:val="24"/>
        </w:rPr>
        <w:t>, 343 S.C. 20, 27, 538 S.E.2d 248, 251 (2000). The standard for review of an ambiguous jury instruction is whether there is a reasonable likelihood that the jury applied the challenged instruction in a way that violates the Constitution. Id. When a charge is inadequate as given, a party must request further instructions or object on grounds of incompleteness to preserve the issue for review. Ford, 334 S.C. at 454, 513 S.E.2d at 390.</w:t>
      </w:r>
      <w:r w:rsidR="00FD6D56">
        <w:rPr>
          <w:rFonts w:ascii="Times New Roman" w:hAnsi="Times New Roman" w:cs="Times New Roman"/>
          <w:sz w:val="28"/>
          <w:szCs w:val="28"/>
        </w:rPr>
        <w:t xml:space="preserve">  </w:t>
      </w:r>
      <w:r w:rsidRPr="00224CE4">
        <w:rPr>
          <w:rFonts w:ascii="Times New Roman" w:hAnsi="Times New Roman" w:cs="Times New Roman"/>
          <w:i/>
          <w:sz w:val="20"/>
          <w:szCs w:val="20"/>
        </w:rPr>
        <w:t>State v  Lemire</w:t>
      </w:r>
      <w:r w:rsidRPr="00224CE4">
        <w:rPr>
          <w:rFonts w:ascii="Times New Roman" w:hAnsi="Times New Roman" w:cs="Times New Roman"/>
          <w:sz w:val="20"/>
          <w:szCs w:val="20"/>
        </w:rPr>
        <w:t>,</w:t>
      </w:r>
      <w:r w:rsidR="00224CE4" w:rsidRPr="00224CE4">
        <w:rPr>
          <w:rFonts w:ascii="Georgia" w:eastAsia="Georgia" w:hAnsi="Georgia" w:cs="Georgia"/>
          <w:b/>
          <w:bCs/>
          <w:sz w:val="20"/>
          <w:szCs w:val="20"/>
        </w:rPr>
        <w:t xml:space="preserve"> </w:t>
      </w:r>
      <w:r w:rsidR="00224CE4" w:rsidRPr="00224CE4">
        <w:rPr>
          <w:rFonts w:ascii="Times New Roman" w:eastAsia="Georgia" w:hAnsi="Times New Roman" w:cs="Times New Roman"/>
          <w:bCs/>
          <w:sz w:val="20"/>
          <w:szCs w:val="20"/>
        </w:rPr>
        <w:t>406 S.C.558 (2014)</w:t>
      </w:r>
    </w:p>
    <w:p w14:paraId="769FF772" w14:textId="77777777" w:rsidR="0018208A" w:rsidRPr="00B42AC7" w:rsidRDefault="00D86EBB" w:rsidP="00B42AC7">
      <w:pPr>
        <w:pStyle w:val="ListParagraph"/>
        <w:numPr>
          <w:ilvl w:val="0"/>
          <w:numId w:val="2"/>
        </w:numPr>
        <w:jc w:val="center"/>
        <w:rPr>
          <w:rFonts w:ascii="Times New Roman" w:hAnsi="Times New Roman" w:cs="Times New Roman"/>
          <w:b/>
          <w:sz w:val="36"/>
          <w:szCs w:val="36"/>
          <w:u w:val="single"/>
        </w:rPr>
      </w:pPr>
      <w:r w:rsidRPr="00B42AC7">
        <w:rPr>
          <w:rFonts w:ascii="Times New Roman" w:hAnsi="Times New Roman" w:cs="Times New Roman"/>
          <w:b/>
          <w:sz w:val="36"/>
          <w:szCs w:val="36"/>
          <w:u w:val="single"/>
        </w:rPr>
        <w:t xml:space="preserve">Is There </w:t>
      </w:r>
      <w:r w:rsidR="00AC140D" w:rsidRPr="00B42AC7">
        <w:rPr>
          <w:rFonts w:ascii="Times New Roman" w:hAnsi="Times New Roman" w:cs="Times New Roman"/>
          <w:b/>
          <w:sz w:val="36"/>
          <w:szCs w:val="36"/>
          <w:u w:val="single"/>
        </w:rPr>
        <w:t>Evidence in the Record</w:t>
      </w:r>
      <w:r w:rsidRPr="00B42AC7">
        <w:rPr>
          <w:rFonts w:ascii="Times New Roman" w:hAnsi="Times New Roman" w:cs="Times New Roman"/>
          <w:b/>
          <w:sz w:val="36"/>
          <w:szCs w:val="36"/>
          <w:u w:val="single"/>
        </w:rPr>
        <w:t>?</w:t>
      </w:r>
    </w:p>
    <w:p w14:paraId="71E4CE24" w14:textId="77777777" w:rsidR="00AC140D" w:rsidRPr="004374FB" w:rsidRDefault="0018208A" w:rsidP="004B73A1">
      <w:pPr>
        <w:spacing w:after="100" w:afterAutospacing="1" w:line="240" w:lineRule="auto"/>
        <w:rPr>
          <w:rFonts w:ascii="Verdana" w:hAnsi="Verdana"/>
          <w:b/>
          <w:bCs/>
          <w:color w:val="999999"/>
          <w:shd w:val="clear" w:color="auto" w:fill="D2DADF"/>
        </w:rPr>
      </w:pPr>
      <w:r w:rsidRPr="007510A0">
        <w:rPr>
          <w:rFonts w:ascii="Times New Roman" w:hAnsi="Times New Roman" w:cs="Times New Roman"/>
          <w:sz w:val="24"/>
          <w:szCs w:val="24"/>
        </w:rPr>
        <w:t>"If there is any evidence in the record from which it could reasonably be inferred that the defendant acted in self-defense, the defendant is entitled to instru</w:t>
      </w:r>
      <w:r w:rsidR="00AC140D" w:rsidRPr="007510A0">
        <w:rPr>
          <w:rFonts w:ascii="Times New Roman" w:hAnsi="Times New Roman" w:cs="Times New Roman"/>
          <w:sz w:val="24"/>
          <w:szCs w:val="24"/>
        </w:rPr>
        <w:t>ctions on</w:t>
      </w:r>
      <w:r w:rsidR="00FD6D56" w:rsidRPr="007510A0">
        <w:rPr>
          <w:rFonts w:ascii="Times New Roman" w:hAnsi="Times New Roman" w:cs="Times New Roman"/>
          <w:sz w:val="24"/>
          <w:szCs w:val="24"/>
        </w:rPr>
        <w:t xml:space="preserve"> the defense, and the trial judge’s refusal to do so is reversible error." </w:t>
      </w:r>
      <w:r w:rsidR="00AC140D" w:rsidRPr="004374FB">
        <w:rPr>
          <w:rFonts w:ascii="Times New Roman" w:hAnsi="Times New Roman" w:cs="Times New Roman"/>
          <w:i/>
          <w:iCs/>
        </w:rPr>
        <w:t>State v Frazier,</w:t>
      </w:r>
      <w:r w:rsidR="00AC140D" w:rsidRPr="004374FB">
        <w:rPr>
          <w:rFonts w:ascii="Times New Roman" w:hAnsi="Times New Roman" w:cs="Times New Roman"/>
          <w:iCs/>
        </w:rPr>
        <w:t xml:space="preserve"> 401 S.C. 224 (Ct. App. 2013), S</w:t>
      </w:r>
      <w:r w:rsidR="00AC140D" w:rsidRPr="004374FB">
        <w:rPr>
          <w:rFonts w:ascii="Times New Roman" w:hAnsi="Times New Roman" w:cs="Times New Roman"/>
          <w:i/>
          <w:iCs/>
        </w:rPr>
        <w:t xml:space="preserve">tate v Williams </w:t>
      </w:r>
      <w:r w:rsidR="00AC140D" w:rsidRPr="004374FB">
        <w:rPr>
          <w:rFonts w:ascii="Times New Roman" w:eastAsia="Times New Roman" w:hAnsi="Times New Roman" w:cs="Times New Roman"/>
        </w:rPr>
        <w:t xml:space="preserve">400 S.C. 308 (Ct.App. 2012),  </w:t>
      </w:r>
      <w:r w:rsidRPr="004374FB">
        <w:rPr>
          <w:rFonts w:ascii="Times New Roman" w:hAnsi="Times New Roman" w:cs="Times New Roman"/>
          <w:i/>
          <w:iCs/>
        </w:rPr>
        <w:t>State v. Day</w:t>
      </w:r>
      <w:r w:rsidRPr="004374FB">
        <w:rPr>
          <w:rFonts w:ascii="Times New Roman" w:hAnsi="Times New Roman" w:cs="Times New Roman"/>
        </w:rPr>
        <w:t>, 341 S.C. 410, 416-17, 535 S.E.2d 431, 434 (2000).</w:t>
      </w:r>
      <w:r w:rsidRPr="004374FB">
        <w:rPr>
          <w:rFonts w:ascii="Times New Roman" w:hAnsi="Times New Roman" w:cs="Times New Roman"/>
        </w:rPr>
        <w:tab/>
      </w:r>
    </w:p>
    <w:p w14:paraId="71C5337C" w14:textId="77777777" w:rsidR="004374FB" w:rsidRPr="007510A0" w:rsidRDefault="004374FB" w:rsidP="004374FB">
      <w:pPr>
        <w:spacing w:after="280" w:afterAutospacing="1" w:line="240" w:lineRule="auto"/>
        <w:rPr>
          <w:rFonts w:ascii="Times New Roman" w:eastAsia="Times New Roman" w:hAnsi="Times New Roman" w:cs="Times New Roman"/>
          <w:sz w:val="24"/>
          <w:szCs w:val="24"/>
        </w:rPr>
      </w:pPr>
      <w:r w:rsidRPr="007510A0">
        <w:rPr>
          <w:rFonts w:ascii="Times New Roman" w:eastAsia="Times New Roman" w:hAnsi="Times New Roman" w:cs="Times New Roman"/>
          <w:sz w:val="24"/>
          <w:szCs w:val="24"/>
        </w:rPr>
        <w:t xml:space="preserve">The law to be charged must be determined from the evidence presented at trial. </w:t>
      </w:r>
      <w:r w:rsidRPr="007510A0">
        <w:rPr>
          <w:rFonts w:ascii="Times New Roman" w:eastAsia="Times New Roman" w:hAnsi="Times New Roman" w:cs="Times New Roman"/>
          <w:sz w:val="24"/>
          <w:szCs w:val="24"/>
          <w:u w:val="single"/>
        </w:rPr>
        <w:t>State v. Knoten</w:t>
      </w:r>
      <w:r w:rsidRPr="007510A0">
        <w:rPr>
          <w:rFonts w:ascii="Times New Roman" w:eastAsia="Times New Roman" w:hAnsi="Times New Roman" w:cs="Times New Roman"/>
          <w:sz w:val="24"/>
          <w:szCs w:val="24"/>
        </w:rPr>
        <w:t xml:space="preserve">, 347 S.C. 296, 302, 555 S.E.2d 391, 394 (2001); </w:t>
      </w:r>
      <w:r w:rsidRPr="007510A0">
        <w:rPr>
          <w:rFonts w:ascii="Times New Roman" w:eastAsia="Times New Roman" w:hAnsi="Times New Roman" w:cs="Times New Roman"/>
          <w:sz w:val="24"/>
          <w:szCs w:val="24"/>
          <w:u w:val="single"/>
        </w:rPr>
        <w:t>State v. Cole</w:t>
      </w:r>
      <w:r w:rsidRPr="007510A0">
        <w:rPr>
          <w:rFonts w:ascii="Times New Roman" w:eastAsia="Times New Roman" w:hAnsi="Times New Roman" w:cs="Times New Roman"/>
          <w:sz w:val="24"/>
          <w:szCs w:val="24"/>
        </w:rPr>
        <w:t xml:space="preserve">, 338 S.C. 97, 101, 525 S.E.2d 511, 512 (2000). </w:t>
      </w:r>
    </w:p>
    <w:p w14:paraId="3555185B" w14:textId="77777777" w:rsidR="00BE7807" w:rsidRPr="007510A0" w:rsidRDefault="004374FB" w:rsidP="004374FB">
      <w:pPr>
        <w:spacing w:after="280" w:afterAutospacing="1" w:line="240" w:lineRule="auto"/>
        <w:rPr>
          <w:rFonts w:ascii="Times New Roman" w:eastAsia="Times New Roman" w:hAnsi="Times New Roman" w:cs="Times New Roman"/>
          <w:sz w:val="24"/>
          <w:szCs w:val="24"/>
        </w:rPr>
      </w:pPr>
      <w:r w:rsidRPr="00545B3A">
        <w:rPr>
          <w:rFonts w:ascii="Times New Roman" w:eastAsia="Times New Roman" w:hAnsi="Times New Roman" w:cs="Times New Roman"/>
          <w:sz w:val="24"/>
          <w:szCs w:val="24"/>
        </w:rPr>
        <w:t>"</w:t>
      </w:r>
      <w:r w:rsidRPr="00545B3A">
        <w:rPr>
          <w:rFonts w:ascii="Times New Roman" w:eastAsia="Times New Roman" w:hAnsi="Times New Roman" w:cs="Times New Roman"/>
          <w:bCs/>
          <w:sz w:val="24"/>
          <w:szCs w:val="24"/>
          <w:u w:val="single"/>
        </w:rPr>
        <w:t>The trial judge is to charge the jury</w:t>
      </w:r>
      <w:r w:rsidRPr="00545B3A">
        <w:rPr>
          <w:rFonts w:ascii="Times New Roman" w:eastAsia="Times New Roman" w:hAnsi="Times New Roman" w:cs="Times New Roman"/>
          <w:sz w:val="24"/>
          <w:szCs w:val="24"/>
        </w:rPr>
        <w:t xml:space="preserve"> </w:t>
      </w:r>
      <w:r w:rsidRPr="00545B3A">
        <w:rPr>
          <w:rFonts w:ascii="Times New Roman" w:eastAsia="Times New Roman" w:hAnsi="Times New Roman" w:cs="Times New Roman"/>
          <w:bCs/>
          <w:sz w:val="24"/>
          <w:szCs w:val="24"/>
          <w:u w:val="single"/>
        </w:rPr>
        <w:t>on a lesser included offense if there is any evidence from which</w:t>
      </w:r>
      <w:r w:rsidRPr="00545B3A">
        <w:rPr>
          <w:rFonts w:ascii="Times New Roman" w:eastAsia="Times New Roman" w:hAnsi="Times New Roman" w:cs="Times New Roman"/>
          <w:sz w:val="24"/>
          <w:szCs w:val="24"/>
        </w:rPr>
        <w:t xml:space="preserve"> </w:t>
      </w:r>
      <w:r w:rsidRPr="00545B3A">
        <w:rPr>
          <w:rFonts w:ascii="Times New Roman" w:eastAsia="Times New Roman" w:hAnsi="Times New Roman" w:cs="Times New Roman"/>
          <w:bCs/>
          <w:sz w:val="24"/>
          <w:szCs w:val="24"/>
          <w:u w:val="single"/>
        </w:rPr>
        <w:t>it could be inferred the lesser, rather than the greater, offense</w:t>
      </w:r>
      <w:r w:rsidRPr="00545B3A">
        <w:rPr>
          <w:rFonts w:ascii="Times New Roman" w:eastAsia="Times New Roman" w:hAnsi="Times New Roman" w:cs="Times New Roman"/>
          <w:sz w:val="24"/>
          <w:szCs w:val="24"/>
        </w:rPr>
        <w:t xml:space="preserve"> </w:t>
      </w:r>
      <w:r w:rsidRPr="00545B3A">
        <w:rPr>
          <w:rFonts w:ascii="Times New Roman" w:eastAsia="Times New Roman" w:hAnsi="Times New Roman" w:cs="Times New Roman"/>
          <w:bCs/>
          <w:sz w:val="24"/>
          <w:szCs w:val="24"/>
          <w:u w:val="single"/>
        </w:rPr>
        <w:t>was committed.</w:t>
      </w:r>
      <w:r w:rsidRPr="00545B3A">
        <w:rPr>
          <w:rFonts w:ascii="Times New Roman" w:eastAsia="Times New Roman" w:hAnsi="Times New Roman" w:cs="Times New Roman"/>
          <w:sz w:val="24"/>
          <w:szCs w:val="24"/>
        </w:rPr>
        <w:t>"</w:t>
      </w:r>
      <w:r w:rsidRPr="007510A0">
        <w:rPr>
          <w:rFonts w:ascii="Times New Roman" w:eastAsia="Times New Roman" w:hAnsi="Times New Roman" w:cs="Times New Roman"/>
          <w:sz w:val="24"/>
          <w:szCs w:val="24"/>
        </w:rPr>
        <w:t xml:space="preserve"> </w:t>
      </w:r>
      <w:r w:rsidRPr="007510A0">
        <w:rPr>
          <w:rFonts w:ascii="Times New Roman" w:eastAsia="Times New Roman" w:hAnsi="Times New Roman" w:cs="Times New Roman"/>
          <w:sz w:val="24"/>
          <w:szCs w:val="24"/>
          <w:u w:val="single"/>
        </w:rPr>
        <w:t>State v. Gourdine</w:t>
      </w:r>
      <w:r w:rsidRPr="007510A0">
        <w:rPr>
          <w:rFonts w:ascii="Times New Roman" w:eastAsia="Times New Roman" w:hAnsi="Times New Roman" w:cs="Times New Roman"/>
          <w:sz w:val="24"/>
          <w:szCs w:val="24"/>
        </w:rPr>
        <w:t xml:space="preserve">, 322 S.C. 396, 398, 472 S.E.2d 241, 241 (1996) (emphasis added); </w:t>
      </w:r>
    </w:p>
    <w:p w14:paraId="1C941BB9" w14:textId="77777777" w:rsidR="004374FB" w:rsidRDefault="004374FB" w:rsidP="004374FB">
      <w:pPr>
        <w:spacing w:after="280" w:afterAutospacing="1" w:line="240" w:lineRule="auto"/>
        <w:rPr>
          <w:rFonts w:ascii="Times New Roman" w:eastAsia="Times New Roman" w:hAnsi="Times New Roman" w:cs="Times New Roman"/>
          <w:sz w:val="24"/>
          <w:szCs w:val="24"/>
        </w:rPr>
      </w:pPr>
      <w:r w:rsidRPr="007510A0">
        <w:rPr>
          <w:rFonts w:ascii="Times New Roman" w:eastAsia="Times New Roman" w:hAnsi="Times New Roman" w:cs="Times New Roman"/>
          <w:sz w:val="24"/>
          <w:szCs w:val="24"/>
        </w:rPr>
        <w:t xml:space="preserve">"To warrant reversal, a trial judge's refusal to give a requested jury charge must be both erroneous and prejudicial." </w:t>
      </w:r>
      <w:r w:rsidRPr="007510A0">
        <w:rPr>
          <w:rFonts w:ascii="Times New Roman" w:eastAsia="Times New Roman" w:hAnsi="Times New Roman" w:cs="Times New Roman"/>
          <w:sz w:val="24"/>
          <w:szCs w:val="24"/>
          <w:u w:val="single"/>
        </w:rPr>
        <w:t>State v.</w:t>
      </w:r>
      <w:r w:rsidRPr="007510A0">
        <w:rPr>
          <w:rFonts w:ascii="Times New Roman" w:eastAsia="Times New Roman" w:hAnsi="Times New Roman" w:cs="Times New Roman"/>
          <w:sz w:val="24"/>
          <w:szCs w:val="24"/>
        </w:rPr>
        <w:t xml:space="preserve"> </w:t>
      </w:r>
      <w:r w:rsidRPr="007510A0">
        <w:rPr>
          <w:rFonts w:ascii="Times New Roman" w:eastAsia="Times New Roman" w:hAnsi="Times New Roman" w:cs="Times New Roman"/>
          <w:sz w:val="24"/>
          <w:szCs w:val="24"/>
          <w:u w:val="single"/>
        </w:rPr>
        <w:t>Hughey</w:t>
      </w:r>
      <w:r w:rsidRPr="007510A0">
        <w:rPr>
          <w:rFonts w:ascii="Times New Roman" w:eastAsia="Times New Roman" w:hAnsi="Times New Roman" w:cs="Times New Roman"/>
          <w:sz w:val="24"/>
          <w:szCs w:val="24"/>
        </w:rPr>
        <w:t xml:space="preserve">, 339 S.C. 439, 450, 529 S.E.2d 721, 727 (2000); </w:t>
      </w:r>
      <w:r w:rsidRPr="007510A0">
        <w:rPr>
          <w:rFonts w:ascii="Times New Roman" w:eastAsia="Times New Roman" w:hAnsi="Times New Roman" w:cs="Times New Roman"/>
          <w:sz w:val="24"/>
          <w:szCs w:val="24"/>
          <w:u w:val="single"/>
        </w:rPr>
        <w:t>see</w:t>
      </w:r>
      <w:r w:rsidRPr="007510A0">
        <w:rPr>
          <w:rFonts w:ascii="Times New Roman" w:eastAsia="Times New Roman" w:hAnsi="Times New Roman" w:cs="Times New Roman"/>
          <w:sz w:val="24"/>
          <w:szCs w:val="24"/>
        </w:rPr>
        <w:t xml:space="preserve"> </w:t>
      </w:r>
      <w:r w:rsidRPr="007510A0">
        <w:rPr>
          <w:rFonts w:ascii="Times New Roman" w:eastAsia="Times New Roman" w:hAnsi="Times New Roman" w:cs="Times New Roman"/>
          <w:sz w:val="24"/>
          <w:szCs w:val="24"/>
          <w:u w:val="single"/>
        </w:rPr>
        <w:t>State v. Harrison</w:t>
      </w:r>
      <w:r w:rsidRPr="007510A0">
        <w:rPr>
          <w:rFonts w:ascii="Times New Roman" w:eastAsia="Times New Roman" w:hAnsi="Times New Roman" w:cs="Times New Roman"/>
          <w:sz w:val="24"/>
          <w:szCs w:val="24"/>
        </w:rPr>
        <w:t xml:space="preserve">, 343 S.C. 165, 172, 539 S.E.2d 71, 74 (Ct. App. 2000) ("A trial court commits reversible error if it fails to give a requested charge on an issue raised by the evidence."); </w:t>
      </w:r>
      <w:r w:rsidRPr="007510A0">
        <w:rPr>
          <w:rFonts w:ascii="Times New Roman" w:eastAsia="Times New Roman" w:hAnsi="Times New Roman" w:cs="Times New Roman"/>
          <w:sz w:val="24"/>
          <w:szCs w:val="24"/>
          <w:u w:val="single"/>
        </w:rPr>
        <w:t>State v. Hill</w:t>
      </w:r>
      <w:r w:rsidRPr="007510A0">
        <w:rPr>
          <w:rFonts w:ascii="Times New Roman" w:eastAsia="Times New Roman" w:hAnsi="Times New Roman" w:cs="Times New Roman"/>
          <w:sz w:val="24"/>
          <w:szCs w:val="24"/>
        </w:rPr>
        <w:t>, 315 S.C. 260, 262, 433 S.E.2d 848, 849 (1993) (finding a trial court commits reversible error if it fails to give a requested charge on an issue raised by the evidence).</w:t>
      </w:r>
    </w:p>
    <w:p w14:paraId="78F858AD" w14:textId="77777777" w:rsidR="00545B3A" w:rsidRDefault="00545B3A" w:rsidP="004374FB">
      <w:pPr>
        <w:spacing w:after="280" w:afterAutospacing="1" w:line="240" w:lineRule="auto"/>
        <w:rPr>
          <w:rFonts w:ascii="Times New Roman" w:eastAsia="Times New Roman" w:hAnsi="Times New Roman" w:cs="Times New Roman"/>
          <w:sz w:val="24"/>
          <w:szCs w:val="24"/>
        </w:rPr>
      </w:pPr>
    </w:p>
    <w:p w14:paraId="02264C3E" w14:textId="77777777" w:rsidR="00D42F75" w:rsidRPr="00B42AC7" w:rsidRDefault="00D86EBB" w:rsidP="00B42AC7">
      <w:pPr>
        <w:pStyle w:val="ListParagraph"/>
        <w:numPr>
          <w:ilvl w:val="0"/>
          <w:numId w:val="2"/>
        </w:numPr>
        <w:jc w:val="center"/>
        <w:rPr>
          <w:rFonts w:ascii="Georgia" w:eastAsia="Georgia" w:hAnsi="Georgia" w:cs="Georgia"/>
          <w:b/>
          <w:bCs/>
          <w:sz w:val="36"/>
          <w:szCs w:val="36"/>
        </w:rPr>
      </w:pPr>
      <w:r w:rsidRPr="00B42AC7">
        <w:rPr>
          <w:rFonts w:ascii="Times New Roman" w:hAnsi="Times New Roman" w:cs="Times New Roman"/>
          <w:b/>
          <w:sz w:val="36"/>
          <w:szCs w:val="36"/>
          <w:u w:val="single"/>
        </w:rPr>
        <w:lastRenderedPageBreak/>
        <w:t xml:space="preserve">Can/Must I </w:t>
      </w:r>
      <w:r w:rsidR="0044340E" w:rsidRPr="00B42AC7">
        <w:rPr>
          <w:rFonts w:ascii="Times New Roman" w:hAnsi="Times New Roman" w:cs="Times New Roman"/>
          <w:b/>
          <w:sz w:val="36"/>
          <w:szCs w:val="36"/>
          <w:u w:val="single"/>
        </w:rPr>
        <w:t>Giv</w:t>
      </w:r>
      <w:r w:rsidRPr="00B42AC7">
        <w:rPr>
          <w:rFonts w:ascii="Times New Roman" w:hAnsi="Times New Roman" w:cs="Times New Roman"/>
          <w:b/>
          <w:sz w:val="36"/>
          <w:szCs w:val="36"/>
          <w:u w:val="single"/>
        </w:rPr>
        <w:t>e A W</w:t>
      </w:r>
      <w:r w:rsidR="004374FB" w:rsidRPr="00B42AC7">
        <w:rPr>
          <w:rFonts w:ascii="Times New Roman" w:hAnsi="Times New Roman" w:cs="Times New Roman"/>
          <w:b/>
          <w:sz w:val="36"/>
          <w:szCs w:val="36"/>
          <w:u w:val="single"/>
        </w:rPr>
        <w:t xml:space="preserve">ritten </w:t>
      </w:r>
      <w:r w:rsidRPr="00B42AC7">
        <w:rPr>
          <w:rFonts w:ascii="Times New Roman" w:hAnsi="Times New Roman" w:cs="Times New Roman"/>
          <w:b/>
          <w:sz w:val="36"/>
          <w:szCs w:val="36"/>
          <w:u w:val="single"/>
        </w:rPr>
        <w:t>C</w:t>
      </w:r>
      <w:r w:rsidR="004374FB" w:rsidRPr="00B42AC7">
        <w:rPr>
          <w:rFonts w:ascii="Times New Roman" w:hAnsi="Times New Roman" w:cs="Times New Roman"/>
          <w:b/>
          <w:sz w:val="36"/>
          <w:szCs w:val="36"/>
          <w:u w:val="single"/>
        </w:rPr>
        <w:t xml:space="preserve">opy </w:t>
      </w:r>
      <w:r w:rsidRPr="00B42AC7">
        <w:rPr>
          <w:rFonts w:ascii="Times New Roman" w:hAnsi="Times New Roman" w:cs="Times New Roman"/>
          <w:b/>
          <w:sz w:val="36"/>
          <w:szCs w:val="36"/>
          <w:u w:val="single"/>
        </w:rPr>
        <w:t>T</w:t>
      </w:r>
      <w:r w:rsidR="004374FB" w:rsidRPr="00B42AC7">
        <w:rPr>
          <w:rFonts w:ascii="Times New Roman" w:hAnsi="Times New Roman" w:cs="Times New Roman"/>
          <w:b/>
          <w:sz w:val="36"/>
          <w:szCs w:val="36"/>
          <w:u w:val="single"/>
        </w:rPr>
        <w:t xml:space="preserve">o </w:t>
      </w:r>
      <w:r w:rsidRPr="00B42AC7">
        <w:rPr>
          <w:rFonts w:ascii="Times New Roman" w:hAnsi="Times New Roman" w:cs="Times New Roman"/>
          <w:b/>
          <w:sz w:val="36"/>
          <w:szCs w:val="36"/>
          <w:u w:val="single"/>
        </w:rPr>
        <w:t>T</w:t>
      </w:r>
      <w:r w:rsidR="004374FB" w:rsidRPr="00B42AC7">
        <w:rPr>
          <w:rFonts w:ascii="Times New Roman" w:hAnsi="Times New Roman" w:cs="Times New Roman"/>
          <w:b/>
          <w:sz w:val="36"/>
          <w:szCs w:val="36"/>
          <w:u w:val="single"/>
        </w:rPr>
        <w:t xml:space="preserve">he </w:t>
      </w:r>
      <w:r w:rsidRPr="00B42AC7">
        <w:rPr>
          <w:rFonts w:ascii="Times New Roman" w:hAnsi="Times New Roman" w:cs="Times New Roman"/>
          <w:b/>
          <w:sz w:val="36"/>
          <w:szCs w:val="36"/>
          <w:u w:val="single"/>
        </w:rPr>
        <w:t>J</w:t>
      </w:r>
      <w:r w:rsidR="004374FB" w:rsidRPr="00B42AC7">
        <w:rPr>
          <w:rFonts w:ascii="Times New Roman" w:hAnsi="Times New Roman" w:cs="Times New Roman"/>
          <w:b/>
          <w:sz w:val="36"/>
          <w:szCs w:val="36"/>
          <w:u w:val="single"/>
        </w:rPr>
        <w:t>ury</w:t>
      </w:r>
      <w:r w:rsidRPr="00B42AC7">
        <w:rPr>
          <w:rFonts w:ascii="Times New Roman" w:hAnsi="Times New Roman" w:cs="Times New Roman"/>
          <w:b/>
          <w:sz w:val="36"/>
          <w:szCs w:val="36"/>
          <w:u w:val="single"/>
        </w:rPr>
        <w:t>?</w:t>
      </w:r>
    </w:p>
    <w:p w14:paraId="6A6EE832" w14:textId="1457DC75" w:rsidR="004374FB" w:rsidRPr="00B42AC7" w:rsidRDefault="00BE7807" w:rsidP="00B42AC7">
      <w:pPr>
        <w:pStyle w:val="ListParagraph"/>
        <w:jc w:val="center"/>
        <w:rPr>
          <w:rFonts w:ascii="Georgia" w:eastAsia="Georgia" w:hAnsi="Georgia" w:cs="Georgia"/>
          <w:b/>
          <w:bCs/>
          <w:sz w:val="24"/>
          <w:szCs w:val="24"/>
        </w:rPr>
      </w:pPr>
      <w:r w:rsidRPr="00B42AC7">
        <w:rPr>
          <w:rFonts w:ascii="Georgia" w:eastAsia="Georgia" w:hAnsi="Georgia" w:cs="Georgia"/>
          <w:bCs/>
          <w:sz w:val="24"/>
          <w:szCs w:val="24"/>
        </w:rPr>
        <w:t>S</w:t>
      </w:r>
      <w:r w:rsidR="00224CE4" w:rsidRPr="00B42AC7">
        <w:rPr>
          <w:rFonts w:ascii="Georgia" w:eastAsia="Georgia" w:hAnsi="Georgia" w:cs="Georgia"/>
          <w:bCs/>
          <w:sz w:val="24"/>
          <w:szCs w:val="24"/>
        </w:rPr>
        <w:t>tate</w:t>
      </w:r>
      <w:r w:rsidRPr="00B42AC7">
        <w:rPr>
          <w:rFonts w:ascii="Georgia" w:eastAsia="Georgia" w:hAnsi="Georgia" w:cs="Georgia"/>
          <w:bCs/>
          <w:sz w:val="24"/>
          <w:szCs w:val="24"/>
        </w:rPr>
        <w:t xml:space="preserve"> v L</w:t>
      </w:r>
      <w:r w:rsidR="00224CE4" w:rsidRPr="00B42AC7">
        <w:rPr>
          <w:rFonts w:ascii="Georgia" w:eastAsia="Georgia" w:hAnsi="Georgia" w:cs="Georgia"/>
          <w:bCs/>
          <w:sz w:val="24"/>
          <w:szCs w:val="24"/>
        </w:rPr>
        <w:t>emire</w:t>
      </w:r>
      <w:r w:rsidRPr="00B42AC7">
        <w:rPr>
          <w:rFonts w:ascii="Georgia" w:eastAsia="Georgia" w:hAnsi="Georgia" w:cs="Georgia"/>
          <w:bCs/>
          <w:sz w:val="24"/>
          <w:szCs w:val="24"/>
        </w:rPr>
        <w:t>, 406 S.C. 558</w:t>
      </w:r>
      <w:r w:rsidR="00B42AC7" w:rsidRPr="00B42AC7">
        <w:rPr>
          <w:rFonts w:ascii="Georgia" w:eastAsia="Georgia" w:hAnsi="Georgia" w:cs="Georgia"/>
          <w:bCs/>
          <w:sz w:val="24"/>
          <w:szCs w:val="24"/>
        </w:rPr>
        <w:t xml:space="preserve"> (SC App 2014)</w:t>
      </w:r>
    </w:p>
    <w:p w14:paraId="3BCEB00A" w14:textId="77777777" w:rsidR="004374FB" w:rsidRPr="007510A0" w:rsidRDefault="004374FB" w:rsidP="004374FB">
      <w:pPr>
        <w:spacing w:after="0" w:line="280" w:lineRule="auto"/>
        <w:rPr>
          <w:rFonts w:ascii="Times New Roman" w:eastAsia="Times New Roman" w:hAnsi="Times New Roman" w:cs="Times New Roman"/>
          <w:b/>
          <w:bCs/>
          <w:sz w:val="24"/>
          <w:szCs w:val="24"/>
        </w:rPr>
      </w:pPr>
      <w:r w:rsidRPr="007510A0">
        <w:rPr>
          <w:rFonts w:ascii="Georgia" w:eastAsia="Georgia" w:hAnsi="Georgia" w:cs="Georgia"/>
          <w:b/>
          <w:bCs/>
          <w:sz w:val="24"/>
          <w:szCs w:val="24"/>
        </w:rPr>
        <w:t xml:space="preserve"> Submission of the Written Charge to the Jury</w:t>
      </w:r>
    </w:p>
    <w:p w14:paraId="03443C5D" w14:textId="77777777" w:rsidR="004374FB" w:rsidRPr="007510A0" w:rsidRDefault="004374FB" w:rsidP="004374FB">
      <w:pPr>
        <w:spacing w:before="240" w:after="240" w:line="280" w:lineRule="auto"/>
        <w:jc w:val="both"/>
        <w:rPr>
          <w:rFonts w:ascii="Times New Roman" w:eastAsia="Times New Roman" w:hAnsi="Times New Roman" w:cs="Times New Roman"/>
          <w:sz w:val="24"/>
          <w:szCs w:val="24"/>
        </w:rPr>
      </w:pPr>
      <w:r w:rsidRPr="007510A0">
        <w:rPr>
          <w:rFonts w:ascii="Georgia" w:eastAsia="Georgia" w:hAnsi="Georgia" w:cs="Georgia"/>
          <w:sz w:val="24"/>
          <w:szCs w:val="24"/>
        </w:rPr>
        <w:t>        On appeal, Lemire argues the trial court's decision to send the entire charge in written form to the jury during deliberation was in error because (1) the jury did not request the entire charge but only the statutes pertaining to the charges, (2) the foreperson was given only a single copy of the charge while the remaining jurors remained sequestered in the jury room, (3) the remaining jurors were neither instructed about their rights to read the instructions in their entirety nor admonished not to take portions of the charge out of context, and (4) there was an increased likelihood of prejudice because the written charge was provided when the jurors were struggling to reach a verdict. We disagree.</w:t>
      </w:r>
    </w:p>
    <w:p w14:paraId="6BCC6F42" w14:textId="77777777" w:rsidR="004374FB" w:rsidRPr="007510A0" w:rsidRDefault="004374FB" w:rsidP="004374FB">
      <w:pPr>
        <w:spacing w:after="0" w:line="280" w:lineRule="auto"/>
        <w:rPr>
          <w:rFonts w:ascii="Times New Roman" w:eastAsia="Times New Roman" w:hAnsi="Times New Roman" w:cs="Times New Roman"/>
          <w:b/>
          <w:bCs/>
          <w:sz w:val="24"/>
          <w:szCs w:val="24"/>
        </w:rPr>
      </w:pPr>
      <w:r w:rsidRPr="007510A0">
        <w:rPr>
          <w:rFonts w:ascii="Georgia" w:eastAsia="Georgia" w:hAnsi="Georgia" w:cs="Georgia"/>
          <w:b/>
          <w:bCs/>
          <w:sz w:val="24"/>
          <w:szCs w:val="24"/>
        </w:rPr>
        <w:t xml:space="preserve">A. </w:t>
      </w:r>
      <w:r w:rsidRPr="007510A0">
        <w:rPr>
          <w:rFonts w:ascii="Georgia" w:eastAsia="Georgia" w:hAnsi="Georgia" w:cs="Georgia"/>
          <w:b/>
          <w:bCs/>
          <w:i/>
          <w:iCs/>
          <w:sz w:val="24"/>
          <w:szCs w:val="24"/>
        </w:rPr>
        <w:t>Jury Only Requested the Statutes</w:t>
      </w:r>
    </w:p>
    <w:p w14:paraId="1CD52F04" w14:textId="77777777" w:rsidR="004374FB" w:rsidRPr="007510A0" w:rsidRDefault="004374FB" w:rsidP="004374FB">
      <w:pPr>
        <w:spacing w:before="240" w:after="240" w:line="280" w:lineRule="auto"/>
        <w:jc w:val="both"/>
        <w:rPr>
          <w:rFonts w:ascii="Times New Roman" w:eastAsia="Times New Roman" w:hAnsi="Times New Roman" w:cs="Times New Roman"/>
          <w:sz w:val="24"/>
          <w:szCs w:val="24"/>
        </w:rPr>
      </w:pPr>
      <w:r w:rsidRPr="007510A0">
        <w:rPr>
          <w:rFonts w:ascii="Georgia" w:eastAsia="Georgia" w:hAnsi="Georgia" w:cs="Georgia"/>
          <w:sz w:val="24"/>
          <w:szCs w:val="24"/>
        </w:rPr>
        <w:t xml:space="preserve">         “A trial court may, in its discretion, submit its instructions on the law to the jury in writing.” </w:t>
      </w:r>
      <w:r w:rsidRPr="007510A0">
        <w:rPr>
          <w:rFonts w:ascii="Georgia" w:eastAsia="Georgia" w:hAnsi="Georgia" w:cs="Georgia"/>
          <w:i/>
          <w:iCs/>
          <w:sz w:val="24"/>
          <w:szCs w:val="24"/>
        </w:rPr>
        <w:t>State v. Turner,</w:t>
      </w:r>
      <w:r w:rsidRPr="007510A0">
        <w:rPr>
          <w:rFonts w:ascii="Georgia" w:eastAsia="Georgia" w:hAnsi="Georgia" w:cs="Georgia"/>
          <w:sz w:val="24"/>
          <w:szCs w:val="24"/>
        </w:rPr>
        <w:t xml:space="preserve"> 373 S.C. 121, 129, 644 S.E.2d 693, 697 (2007). Furthermore, a party disputing the submission of the written charge must show prejudice to obtain relief on this ground. </w:t>
      </w:r>
      <w:r w:rsidRPr="007510A0">
        <w:rPr>
          <w:rFonts w:ascii="Georgia" w:eastAsia="Georgia" w:hAnsi="Georgia" w:cs="Georgia"/>
          <w:i/>
          <w:iCs/>
          <w:sz w:val="24"/>
          <w:szCs w:val="24"/>
        </w:rPr>
        <w:t>Id.</w:t>
      </w:r>
      <w:r w:rsidRPr="007510A0">
        <w:rPr>
          <w:rFonts w:ascii="Georgia" w:eastAsia="Georgia" w:hAnsi="Georgia" w:cs="Georgia"/>
          <w:sz w:val="24"/>
          <w:szCs w:val="24"/>
        </w:rPr>
        <w:t xml:space="preserve"> A trial court should use this practice sparingly and only when it will aid the jury and not prejudice the defendant. </w:t>
      </w:r>
      <w:r w:rsidRPr="007510A0">
        <w:rPr>
          <w:rFonts w:ascii="Georgia" w:eastAsia="Georgia" w:hAnsi="Georgia" w:cs="Georgia"/>
          <w:i/>
          <w:iCs/>
          <w:sz w:val="24"/>
          <w:szCs w:val="24"/>
        </w:rPr>
        <w:t>State v. Covert,</w:t>
      </w:r>
      <w:r w:rsidRPr="007510A0">
        <w:rPr>
          <w:rFonts w:ascii="Georgia" w:eastAsia="Georgia" w:hAnsi="Georgia" w:cs="Georgia"/>
          <w:sz w:val="24"/>
          <w:szCs w:val="24"/>
        </w:rPr>
        <w:t xml:space="preserve"> 382 S.C. 205, 210, 675 S.E.2d 740, 743 (2009). In any event, “[i]t is never appropriate ... to give only part of the charge to the jury.” </w:t>
      </w:r>
      <w:r w:rsidRPr="007510A0">
        <w:rPr>
          <w:rFonts w:ascii="Georgia" w:eastAsia="Georgia" w:hAnsi="Georgia" w:cs="Georgia"/>
          <w:i/>
          <w:iCs/>
          <w:sz w:val="24"/>
          <w:szCs w:val="24"/>
        </w:rPr>
        <w:t>Id.</w:t>
      </w:r>
      <w:r w:rsidRPr="007510A0">
        <w:rPr>
          <w:rFonts w:ascii="Georgia" w:eastAsia="Georgia" w:hAnsi="Georgia" w:cs="Georgia"/>
          <w:sz w:val="24"/>
          <w:szCs w:val="24"/>
        </w:rPr>
        <w:t xml:space="preserve"> We hold the trial court acted within its discretion in sending a written copy of the entire charge to the jury during its deliberation.</w:t>
      </w:r>
    </w:p>
    <w:p w14:paraId="3979768F" w14:textId="77777777" w:rsidR="004374FB" w:rsidRPr="007510A0" w:rsidRDefault="004374FB" w:rsidP="004374FB">
      <w:pPr>
        <w:spacing w:before="240" w:after="240" w:line="280" w:lineRule="auto"/>
        <w:jc w:val="both"/>
        <w:rPr>
          <w:rFonts w:ascii="Times New Roman" w:eastAsia="Times New Roman" w:hAnsi="Times New Roman" w:cs="Times New Roman"/>
          <w:sz w:val="24"/>
          <w:szCs w:val="24"/>
        </w:rPr>
      </w:pPr>
      <w:r w:rsidRPr="007510A0">
        <w:rPr>
          <w:rFonts w:ascii="Georgia" w:eastAsia="Georgia" w:hAnsi="Georgia" w:cs="Georgia"/>
          <w:sz w:val="24"/>
          <w:szCs w:val="24"/>
        </w:rPr>
        <w:t xml:space="preserve">        Here, pursuant to the prohibition in </w:t>
      </w:r>
      <w:r w:rsidRPr="007510A0">
        <w:rPr>
          <w:rFonts w:ascii="Georgia" w:eastAsia="Georgia" w:hAnsi="Georgia" w:cs="Georgia"/>
          <w:i/>
          <w:iCs/>
          <w:sz w:val="24"/>
          <w:szCs w:val="24"/>
        </w:rPr>
        <w:t>Covert,</w:t>
      </w:r>
      <w:r w:rsidRPr="007510A0">
        <w:rPr>
          <w:rFonts w:ascii="Georgia" w:eastAsia="Georgia" w:hAnsi="Georgia" w:cs="Georgia"/>
          <w:sz w:val="24"/>
          <w:szCs w:val="24"/>
        </w:rPr>
        <w:t xml:space="preserve"> the trial court was not at liberty to provide the jury with written copies of only selected portions of its instructions.</w:t>
      </w:r>
      <w:hyperlink w:anchor="fn3" w:history="1">
        <w:bookmarkStart w:id="0" w:name="fr3"/>
        <w:r w:rsidRPr="007510A0">
          <w:rPr>
            <w:rFonts w:ascii="Georgia" w:eastAsia="Georgia" w:hAnsi="Georgia" w:cs="Georgia"/>
            <w:color w:val="0000EE"/>
            <w:sz w:val="24"/>
            <w:szCs w:val="24"/>
            <w:u w:val="single"/>
            <w:vertAlign w:val="superscript"/>
          </w:rPr>
          <w:t>4</w:t>
        </w:r>
      </w:hyperlink>
      <w:bookmarkEnd w:id="0"/>
      <w:r w:rsidRPr="007510A0">
        <w:rPr>
          <w:rFonts w:ascii="Georgia" w:eastAsia="Georgia" w:hAnsi="Georgia" w:cs="Georgia"/>
          <w:sz w:val="24"/>
          <w:szCs w:val="24"/>
        </w:rPr>
        <w:t xml:space="preserve"> The trial court could either recite the requested portions to the jury or, as was done here, send a written copy of the entire charge to the jury. At trial, Lemire never advocated that the trial court should reinstruct the jury verbally on the requested written statutes. Thus, the court did not abuse its discretion when it simply chose the other valid alternative as permitted by </w:t>
      </w:r>
      <w:r w:rsidRPr="007510A0">
        <w:rPr>
          <w:rFonts w:ascii="Georgia" w:eastAsia="Georgia" w:hAnsi="Georgia" w:cs="Georgia"/>
          <w:i/>
          <w:iCs/>
          <w:sz w:val="24"/>
          <w:szCs w:val="24"/>
        </w:rPr>
        <w:t>Covert.</w:t>
      </w:r>
      <w:r w:rsidRPr="007510A0">
        <w:rPr>
          <w:rFonts w:ascii="Georgia" w:eastAsia="Georgia" w:hAnsi="Georgia" w:cs="Georgia"/>
          <w:sz w:val="24"/>
          <w:szCs w:val="24"/>
        </w:rPr>
        <w:t xml:space="preserve"> Recognizing that trial courts must exercise restraint in employing this practice, we nevertheless hold its use here was proper, especially considering the trial court had already re-charged the jurors orally on the relevant statutes when they made their first inquiry during the deliberation. </w:t>
      </w:r>
    </w:p>
    <w:p w14:paraId="03C61815" w14:textId="77777777" w:rsidR="004374FB" w:rsidRPr="007510A0" w:rsidRDefault="004374FB" w:rsidP="004374FB">
      <w:pPr>
        <w:spacing w:after="0" w:line="280" w:lineRule="auto"/>
        <w:rPr>
          <w:rFonts w:ascii="Times New Roman" w:eastAsia="Times New Roman" w:hAnsi="Times New Roman" w:cs="Times New Roman"/>
          <w:b/>
          <w:bCs/>
          <w:sz w:val="24"/>
          <w:szCs w:val="24"/>
        </w:rPr>
      </w:pPr>
      <w:r w:rsidRPr="007510A0">
        <w:rPr>
          <w:rFonts w:ascii="Georgia" w:eastAsia="Georgia" w:hAnsi="Georgia" w:cs="Georgia"/>
          <w:b/>
          <w:bCs/>
          <w:sz w:val="24"/>
          <w:szCs w:val="24"/>
        </w:rPr>
        <w:t xml:space="preserve">B. </w:t>
      </w:r>
      <w:r w:rsidRPr="007510A0">
        <w:rPr>
          <w:rFonts w:ascii="Georgia" w:eastAsia="Georgia" w:hAnsi="Georgia" w:cs="Georgia"/>
          <w:b/>
          <w:bCs/>
          <w:i/>
          <w:iCs/>
          <w:sz w:val="24"/>
          <w:szCs w:val="24"/>
        </w:rPr>
        <w:t>Single Copy of the Charge Given to the Foreperson</w:t>
      </w:r>
    </w:p>
    <w:p w14:paraId="61967FB8" w14:textId="77777777" w:rsidR="004374FB" w:rsidRPr="007510A0" w:rsidRDefault="004374FB" w:rsidP="004374FB">
      <w:pPr>
        <w:spacing w:before="240" w:after="240" w:line="280" w:lineRule="auto"/>
        <w:jc w:val="both"/>
        <w:rPr>
          <w:rFonts w:ascii="Times New Roman" w:eastAsia="Times New Roman" w:hAnsi="Times New Roman" w:cs="Times New Roman"/>
          <w:sz w:val="24"/>
          <w:szCs w:val="24"/>
        </w:rPr>
      </w:pPr>
      <w:r w:rsidRPr="007510A0">
        <w:rPr>
          <w:rFonts w:ascii="Georgia" w:eastAsia="Georgia" w:hAnsi="Georgia" w:cs="Georgia"/>
          <w:sz w:val="24"/>
          <w:szCs w:val="24"/>
        </w:rPr>
        <w:t xml:space="preserve">        We further hold Lemire has failed to establish reversible error from the trial court's decisions both to supply the jury with only one copy of the written charge and to give that copy to the foreperson for delivery to the jury room. First, Lemire did not request </w:t>
      </w:r>
      <w:r w:rsidRPr="007510A0">
        <w:rPr>
          <w:rFonts w:ascii="Georgia" w:eastAsia="Georgia" w:hAnsi="Georgia" w:cs="Georgia"/>
          <w:sz w:val="24"/>
          <w:szCs w:val="24"/>
        </w:rPr>
        <w:lastRenderedPageBreak/>
        <w:t xml:space="preserve">the court provide a separate copy for each juror. Furthermore, we have found no authority, nor has Lemire cited authority, for the proposition that it is error for a trial court to furnish a single copy of its written instructions to the jury during deliberation. </w:t>
      </w:r>
      <w:hyperlink w:anchor="fn4" w:history="1">
        <w:bookmarkStart w:id="1" w:name="fr4"/>
        <w:r w:rsidRPr="007510A0">
          <w:rPr>
            <w:rFonts w:ascii="Georgia" w:eastAsia="Georgia" w:hAnsi="Georgia" w:cs="Georgia"/>
            <w:color w:val="0000EE"/>
            <w:sz w:val="24"/>
            <w:szCs w:val="24"/>
            <w:u w:val="single"/>
            <w:vertAlign w:val="superscript"/>
          </w:rPr>
          <w:t>5</w:t>
        </w:r>
      </w:hyperlink>
      <w:bookmarkEnd w:id="1"/>
    </w:p>
    <w:p w14:paraId="65AEA87B" w14:textId="77777777" w:rsidR="004374FB" w:rsidRPr="007510A0" w:rsidRDefault="004374FB" w:rsidP="004374FB">
      <w:pPr>
        <w:spacing w:before="240" w:after="240" w:line="280" w:lineRule="auto"/>
        <w:jc w:val="both"/>
        <w:rPr>
          <w:rFonts w:ascii="Times New Roman" w:eastAsia="Times New Roman" w:hAnsi="Times New Roman" w:cs="Times New Roman"/>
          <w:sz w:val="24"/>
          <w:szCs w:val="24"/>
        </w:rPr>
      </w:pPr>
      <w:r w:rsidRPr="007510A0">
        <w:rPr>
          <w:rFonts w:ascii="Georgia" w:eastAsia="Georgia" w:hAnsi="Georgia" w:cs="Georgia"/>
          <w:sz w:val="24"/>
          <w:szCs w:val="24"/>
        </w:rPr>
        <w:t xml:space="preserve">         Additionally, there is no discussion in the record between the trial court and Lemire concerning the trial court's decision to summon only the foreperson to receive the written jury instructions. Because Lemire never objected at trial to the summoning of the foreperson only and never requested the entire jury be present to receive the written charge, this argument is not preserved for appellate review         </w:t>
      </w:r>
    </w:p>
    <w:p w14:paraId="78827370" w14:textId="77777777" w:rsidR="004374FB" w:rsidRPr="007510A0" w:rsidRDefault="004374FB" w:rsidP="004374FB">
      <w:pPr>
        <w:spacing w:after="0" w:line="280" w:lineRule="auto"/>
        <w:rPr>
          <w:rFonts w:ascii="Times New Roman" w:eastAsia="Times New Roman" w:hAnsi="Times New Roman" w:cs="Times New Roman"/>
          <w:b/>
          <w:bCs/>
          <w:sz w:val="24"/>
          <w:szCs w:val="24"/>
        </w:rPr>
      </w:pPr>
      <w:r w:rsidRPr="007510A0">
        <w:rPr>
          <w:rFonts w:ascii="Georgia" w:eastAsia="Georgia" w:hAnsi="Georgia" w:cs="Georgia"/>
          <w:b/>
          <w:bCs/>
          <w:sz w:val="24"/>
          <w:szCs w:val="24"/>
        </w:rPr>
        <w:t xml:space="preserve">C. </w:t>
      </w:r>
      <w:r w:rsidRPr="007510A0">
        <w:rPr>
          <w:rFonts w:ascii="Georgia" w:eastAsia="Georgia" w:hAnsi="Georgia" w:cs="Georgia"/>
          <w:b/>
          <w:bCs/>
          <w:i/>
          <w:iCs/>
          <w:sz w:val="24"/>
          <w:szCs w:val="24"/>
        </w:rPr>
        <w:t>Oral Instructions Concerning the Written Jury Charge</w:t>
      </w:r>
    </w:p>
    <w:p w14:paraId="3F937A16" w14:textId="77777777" w:rsidR="004374FB" w:rsidRPr="007510A0" w:rsidRDefault="004374FB" w:rsidP="009F7A0A">
      <w:pPr>
        <w:spacing w:before="240" w:after="240" w:line="280" w:lineRule="auto"/>
        <w:jc w:val="both"/>
        <w:rPr>
          <w:rFonts w:ascii="Times New Roman" w:eastAsia="Times New Roman" w:hAnsi="Times New Roman" w:cs="Times New Roman"/>
          <w:sz w:val="24"/>
          <w:szCs w:val="24"/>
        </w:rPr>
      </w:pPr>
      <w:r w:rsidRPr="007510A0">
        <w:rPr>
          <w:rFonts w:ascii="Georgia" w:eastAsia="Georgia" w:hAnsi="Georgia" w:cs="Georgia"/>
          <w:sz w:val="24"/>
          <w:szCs w:val="24"/>
        </w:rPr>
        <w:t xml:space="preserve">         Lemire further contends that since a single written copy of the charge was provided to the jury during its deliberation, all the jurors should be instructed about their right to read the entire charge and be admonished not to take any portions out of context. </w:t>
      </w:r>
    </w:p>
    <w:p w14:paraId="17BF7523" w14:textId="77777777" w:rsidR="004374FB" w:rsidRPr="007510A0" w:rsidRDefault="004374FB" w:rsidP="009F7A0A">
      <w:pPr>
        <w:spacing w:before="240" w:after="240" w:line="280" w:lineRule="auto"/>
        <w:jc w:val="both"/>
        <w:rPr>
          <w:rFonts w:ascii="Times New Roman" w:eastAsia="Times New Roman" w:hAnsi="Times New Roman" w:cs="Times New Roman"/>
          <w:sz w:val="24"/>
          <w:szCs w:val="24"/>
        </w:rPr>
      </w:pPr>
      <w:r w:rsidRPr="007510A0">
        <w:rPr>
          <w:rFonts w:ascii="Georgia" w:eastAsia="Georgia" w:hAnsi="Georgia" w:cs="Georgia"/>
          <w:sz w:val="24"/>
          <w:szCs w:val="24"/>
        </w:rPr>
        <w:t xml:space="preserve">Nowhere in his argument concerning the written jury charge did Lemire request the trial court instruct the jury in any manner. Therefore, any error predicated </w:t>
      </w:r>
      <w:r w:rsidR="007510A0">
        <w:rPr>
          <w:rFonts w:ascii="Georgia" w:eastAsia="Georgia" w:hAnsi="Georgia" w:cs="Georgia"/>
          <w:sz w:val="24"/>
          <w:szCs w:val="24"/>
        </w:rPr>
        <w:t xml:space="preserve">. . . </w:t>
      </w:r>
      <w:r w:rsidRPr="007510A0">
        <w:rPr>
          <w:rFonts w:ascii="Georgia" w:eastAsia="Georgia" w:hAnsi="Georgia" w:cs="Georgia"/>
          <w:sz w:val="24"/>
          <w:szCs w:val="24"/>
        </w:rPr>
        <w:t xml:space="preserve">is not preserved for appellate review. </w:t>
      </w:r>
      <w:r w:rsidRPr="007510A0">
        <w:rPr>
          <w:rFonts w:ascii="Georgia" w:eastAsia="Georgia" w:hAnsi="Georgia" w:cs="Georgia"/>
          <w:i/>
          <w:iCs/>
          <w:sz w:val="24"/>
          <w:szCs w:val="24"/>
        </w:rPr>
        <w:t>See State v. Ford,</w:t>
      </w:r>
      <w:r w:rsidRPr="007510A0">
        <w:rPr>
          <w:rFonts w:ascii="Georgia" w:eastAsia="Georgia" w:hAnsi="Georgia" w:cs="Georgia"/>
          <w:sz w:val="24"/>
          <w:szCs w:val="24"/>
        </w:rPr>
        <w:t xml:space="preserve"> 334 S.C. 444, 454, 513 S.E.2d 385, 390 (Ct.App.1999) (“When a charge is inadequate as given, a party must request further instructions or object on grounds of incompleteness to preserve the issue for review.”).</w:t>
      </w:r>
      <w:r w:rsidR="009F7A0A" w:rsidRPr="007510A0">
        <w:rPr>
          <w:rFonts w:ascii="Times New Roman" w:eastAsia="Times New Roman" w:hAnsi="Times New Roman" w:cs="Times New Roman"/>
          <w:sz w:val="24"/>
          <w:szCs w:val="24"/>
        </w:rPr>
        <w:t xml:space="preserve"> </w:t>
      </w:r>
    </w:p>
    <w:p w14:paraId="26FD7CB5" w14:textId="77777777" w:rsidR="004374FB" w:rsidRPr="007510A0" w:rsidRDefault="004374FB" w:rsidP="004374FB">
      <w:pPr>
        <w:spacing w:before="240" w:after="240" w:line="280" w:lineRule="auto"/>
        <w:jc w:val="both"/>
        <w:rPr>
          <w:rFonts w:ascii="Times New Roman" w:eastAsia="Times New Roman" w:hAnsi="Times New Roman" w:cs="Times New Roman"/>
          <w:sz w:val="24"/>
          <w:szCs w:val="24"/>
        </w:rPr>
      </w:pPr>
      <w:r w:rsidRPr="007510A0">
        <w:rPr>
          <w:rFonts w:ascii="Georgia" w:eastAsia="Georgia" w:hAnsi="Georgia" w:cs="Georgia"/>
          <w:sz w:val="24"/>
          <w:szCs w:val="24"/>
        </w:rPr>
        <w:t xml:space="preserve">        There is no evidence in the record indicating the jury neglected any portion of the charge. Further, after receiving an </w:t>
      </w:r>
      <w:r w:rsidRPr="007510A0">
        <w:rPr>
          <w:rFonts w:ascii="Georgia" w:eastAsia="Georgia" w:hAnsi="Georgia" w:cs="Georgia"/>
          <w:i/>
          <w:iCs/>
          <w:sz w:val="24"/>
          <w:szCs w:val="24"/>
        </w:rPr>
        <w:t>Allen</w:t>
      </w:r>
      <w:hyperlink w:anchor="fn8" w:history="1">
        <w:bookmarkStart w:id="2" w:name="fr8"/>
        <w:r w:rsidRPr="007510A0">
          <w:rPr>
            <w:rFonts w:ascii="Georgia" w:eastAsia="Georgia" w:hAnsi="Georgia" w:cs="Georgia"/>
            <w:color w:val="0000EE"/>
            <w:sz w:val="24"/>
            <w:szCs w:val="24"/>
            <w:u w:val="single"/>
            <w:vertAlign w:val="superscript"/>
          </w:rPr>
          <w:t>9</w:t>
        </w:r>
      </w:hyperlink>
      <w:bookmarkEnd w:id="2"/>
      <w:r w:rsidRPr="007510A0">
        <w:rPr>
          <w:rFonts w:ascii="Georgia" w:eastAsia="Georgia" w:hAnsi="Georgia" w:cs="Georgia"/>
          <w:sz w:val="24"/>
          <w:szCs w:val="24"/>
        </w:rPr>
        <w:t xml:space="preserve"> charge, the jury continued deliberation for another forty minutes before arriving at a verdict. In the </w:t>
      </w:r>
      <w:r w:rsidRPr="007510A0">
        <w:rPr>
          <w:rFonts w:ascii="Georgia" w:eastAsia="Georgia" w:hAnsi="Georgia" w:cs="Georgia"/>
          <w:i/>
          <w:iCs/>
          <w:sz w:val="24"/>
          <w:szCs w:val="24"/>
        </w:rPr>
        <w:t>Allen</w:t>
      </w:r>
      <w:r w:rsidRPr="007510A0">
        <w:rPr>
          <w:rFonts w:ascii="Georgia" w:eastAsia="Georgia" w:hAnsi="Georgia" w:cs="Georgia"/>
          <w:sz w:val="24"/>
          <w:szCs w:val="24"/>
        </w:rPr>
        <w:t xml:space="preserve"> charge, the trial court instructed the jury to “lay aside all outside matters and reexamine the questions before you based on the law and the evidence in this case.” </w:t>
      </w:r>
    </w:p>
    <w:p w14:paraId="65A6000C" w14:textId="77777777" w:rsidR="004374FB" w:rsidRPr="007510A0" w:rsidRDefault="004374FB" w:rsidP="004374FB">
      <w:pPr>
        <w:spacing w:after="0" w:line="280" w:lineRule="auto"/>
        <w:rPr>
          <w:rFonts w:ascii="Times New Roman" w:eastAsia="Times New Roman" w:hAnsi="Times New Roman" w:cs="Times New Roman"/>
          <w:b/>
          <w:bCs/>
          <w:sz w:val="24"/>
          <w:szCs w:val="24"/>
        </w:rPr>
      </w:pPr>
      <w:r w:rsidRPr="007510A0">
        <w:rPr>
          <w:rFonts w:ascii="Georgia" w:eastAsia="Georgia" w:hAnsi="Georgia" w:cs="Georgia"/>
          <w:b/>
          <w:bCs/>
          <w:sz w:val="24"/>
          <w:szCs w:val="24"/>
        </w:rPr>
        <w:t xml:space="preserve">D. </w:t>
      </w:r>
      <w:r w:rsidRPr="007510A0">
        <w:rPr>
          <w:rFonts w:ascii="Georgia" w:eastAsia="Georgia" w:hAnsi="Georgia" w:cs="Georgia"/>
          <w:b/>
          <w:bCs/>
          <w:i/>
          <w:iCs/>
          <w:sz w:val="24"/>
          <w:szCs w:val="24"/>
        </w:rPr>
        <w:t>Prejudice Due to Lengthy Jury Deliberations</w:t>
      </w:r>
    </w:p>
    <w:p w14:paraId="2C5CB376" w14:textId="77777777" w:rsidR="004374FB" w:rsidRPr="007510A0" w:rsidRDefault="004374FB" w:rsidP="004374FB">
      <w:pPr>
        <w:spacing w:before="240" w:after="240" w:line="280" w:lineRule="auto"/>
        <w:jc w:val="both"/>
        <w:rPr>
          <w:rFonts w:ascii="Times New Roman" w:eastAsia="Times New Roman" w:hAnsi="Times New Roman" w:cs="Times New Roman"/>
          <w:sz w:val="24"/>
          <w:szCs w:val="24"/>
        </w:rPr>
      </w:pPr>
      <w:r w:rsidRPr="007510A0">
        <w:rPr>
          <w:rFonts w:ascii="Georgia" w:eastAsia="Georgia" w:hAnsi="Georgia" w:cs="Georgia"/>
          <w:sz w:val="24"/>
          <w:szCs w:val="24"/>
        </w:rPr>
        <w:t xml:space="preserve">         Finally, Lemire maintains the likelihood he would be prejudiced by the trial court's decision to give the written charge to the jury was enhanced because the jury was struggling to reach a verdict. Lemire never argued to the trial court </w:t>
      </w:r>
      <w:r w:rsidR="007510A0">
        <w:rPr>
          <w:rFonts w:ascii="Georgia" w:eastAsia="Georgia" w:hAnsi="Georgia" w:cs="Georgia"/>
          <w:sz w:val="24"/>
          <w:szCs w:val="24"/>
        </w:rPr>
        <w:t xml:space="preserve"> . . . </w:t>
      </w:r>
      <w:r w:rsidRPr="007510A0">
        <w:rPr>
          <w:rFonts w:ascii="Georgia" w:eastAsia="Georgia" w:hAnsi="Georgia" w:cs="Georgia"/>
          <w:sz w:val="24"/>
          <w:szCs w:val="24"/>
        </w:rPr>
        <w:t xml:space="preserve">Thus, this argument is not preserved for review. </w:t>
      </w:r>
    </w:p>
    <w:p w14:paraId="7B5D8D4E" w14:textId="77777777" w:rsidR="004374FB" w:rsidRPr="007510A0" w:rsidRDefault="004374FB" w:rsidP="00FD6D56">
      <w:pPr>
        <w:spacing w:before="240" w:after="240" w:line="280" w:lineRule="auto"/>
        <w:jc w:val="both"/>
        <w:rPr>
          <w:rFonts w:ascii="Times New Roman" w:hAnsi="Times New Roman" w:cs="Times New Roman"/>
          <w:sz w:val="24"/>
          <w:szCs w:val="24"/>
        </w:rPr>
      </w:pPr>
      <w:r w:rsidRPr="007510A0">
        <w:rPr>
          <w:rFonts w:ascii="Georgia" w:eastAsia="Georgia" w:hAnsi="Georgia" w:cs="Georgia"/>
          <w:sz w:val="24"/>
          <w:szCs w:val="24"/>
        </w:rPr>
        <w:t xml:space="preserve">         This argument also fails on the merits, as such a practice of providing the written charge to the jury has not been considered prejudicial as long as the trial court has already given the charge orally. </w:t>
      </w:r>
      <w:r w:rsidRPr="007510A0">
        <w:rPr>
          <w:rFonts w:ascii="Georgia" w:eastAsia="Georgia" w:hAnsi="Georgia" w:cs="Georgia"/>
          <w:i/>
          <w:iCs/>
          <w:sz w:val="24"/>
          <w:szCs w:val="24"/>
        </w:rPr>
        <w:t>See Turner,</w:t>
      </w:r>
      <w:r w:rsidRPr="007510A0">
        <w:rPr>
          <w:rFonts w:ascii="Georgia" w:eastAsia="Georgia" w:hAnsi="Georgia" w:cs="Georgia"/>
          <w:sz w:val="24"/>
          <w:szCs w:val="24"/>
        </w:rPr>
        <w:t xml:space="preserve"> 373 S.C. at 129, 644 S.E.2d at 697 (“A trial court may, in its discretion, submit its instructions on the law to the jury in writing.”); </w:t>
      </w:r>
      <w:r w:rsidRPr="007510A0">
        <w:rPr>
          <w:rFonts w:ascii="Georgia" w:eastAsia="Georgia" w:hAnsi="Georgia" w:cs="Georgia"/>
          <w:i/>
          <w:iCs/>
          <w:sz w:val="24"/>
          <w:szCs w:val="24"/>
        </w:rPr>
        <w:t>see also</w:t>
      </w:r>
      <w:r w:rsidRPr="007510A0">
        <w:rPr>
          <w:rFonts w:ascii="Georgia" w:eastAsia="Georgia" w:hAnsi="Georgia" w:cs="Georgia"/>
          <w:sz w:val="24"/>
          <w:szCs w:val="24"/>
        </w:rPr>
        <w:t xml:space="preserve">75A Am.Jur.2d </w:t>
      </w:r>
      <w:r w:rsidRPr="007510A0">
        <w:rPr>
          <w:rFonts w:ascii="Georgia" w:eastAsia="Georgia" w:hAnsi="Georgia" w:cs="Georgia"/>
          <w:i/>
          <w:iCs/>
          <w:sz w:val="24"/>
          <w:szCs w:val="24"/>
        </w:rPr>
        <w:t>Trial</w:t>
      </w:r>
      <w:r w:rsidRPr="007510A0">
        <w:rPr>
          <w:rFonts w:ascii="Georgia" w:eastAsia="Georgia" w:hAnsi="Georgia" w:cs="Georgia"/>
          <w:sz w:val="24"/>
          <w:szCs w:val="24"/>
        </w:rPr>
        <w:t xml:space="preserve"> § 978 (2007) (noting the general recognition that when a jury requests written instructions, “no good reason exists to deny such a request because giving the instructions might avoid confusion ... as to the contents of the instructions” </w:t>
      </w:r>
      <w:r w:rsidRPr="007510A0">
        <w:rPr>
          <w:rFonts w:ascii="Georgia" w:eastAsia="Georgia" w:hAnsi="Georgia" w:cs="Georgia"/>
          <w:sz w:val="24"/>
          <w:szCs w:val="24"/>
        </w:rPr>
        <w:lastRenderedPageBreak/>
        <w:t xml:space="preserve">and when a written copy of a jury charge is provided during deliberations, “the proper practice would be for a judge to first read the instructions to the panel, as opposed to just merely handing the written instructions to them”); </w:t>
      </w:r>
      <w:r w:rsidRPr="007510A0">
        <w:rPr>
          <w:rFonts w:ascii="Georgia" w:eastAsia="Georgia" w:hAnsi="Georgia" w:cs="Georgia"/>
          <w:i/>
          <w:iCs/>
          <w:sz w:val="24"/>
          <w:szCs w:val="24"/>
        </w:rPr>
        <w:t>id.</w:t>
      </w:r>
      <w:r w:rsidRPr="007510A0">
        <w:rPr>
          <w:rFonts w:ascii="Georgia" w:eastAsia="Georgia" w:hAnsi="Georgia" w:cs="Georgia"/>
          <w:sz w:val="24"/>
          <w:szCs w:val="24"/>
        </w:rPr>
        <w:t xml:space="preserve"> (acknowledging “a few cases which hold that a trial court commits error if it sends its written instructions with the retiring jury” but further noting that “in this latter group of cases, the courts have ruled that such error was not of sufficient magnitude to warrant reversing a case which was otherwise properly tried”). The trial court demonstrated caution in sending the written instructions to the jury room, as evidenced in the fact that this measure was taken only when it became clear the jurors were still unable to reach a verdict despite having received additional verbal instructions and having engaged in prolonged deliberations. </w:t>
      </w:r>
      <w:r w:rsidRPr="007510A0">
        <w:rPr>
          <w:rFonts w:ascii="Georgia" w:eastAsia="Georgia" w:hAnsi="Georgia" w:cs="Georgia"/>
          <w:i/>
          <w:iCs/>
          <w:sz w:val="24"/>
          <w:szCs w:val="24"/>
        </w:rPr>
        <w:t>See Covert,</w:t>
      </w:r>
      <w:r w:rsidRPr="007510A0">
        <w:rPr>
          <w:rFonts w:ascii="Georgia" w:eastAsia="Georgia" w:hAnsi="Georgia" w:cs="Georgia"/>
          <w:sz w:val="24"/>
          <w:szCs w:val="24"/>
        </w:rPr>
        <w:t xml:space="preserve"> 382 S.C. at 210, 675 S.E.2d at 743 (2009) (finding it is within the trial court's discretion to submit its instructions on the law to the jury in writing, but this practice should be used sparingly and only when it will aid the jury and not prejudice the defendant). Accordingly, we hold that providing the jury with a written copy of the jury charge did not result in prejudice to Lemire.</w:t>
      </w:r>
    </w:p>
    <w:sectPr w:rsidR="004374FB" w:rsidRPr="007510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5612"/>
    <w:multiLevelType w:val="hybridMultilevel"/>
    <w:tmpl w:val="7938DDF4"/>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A258A"/>
    <w:multiLevelType w:val="hybridMultilevel"/>
    <w:tmpl w:val="D072583E"/>
    <w:lvl w:ilvl="0" w:tplc="CF9E6E00">
      <w:start w:val="1"/>
      <w:numFmt w:val="upperLetter"/>
      <w:lvlText w:val="%1."/>
      <w:lvlJc w:val="left"/>
      <w:pPr>
        <w:ind w:left="720" w:hanging="360"/>
      </w:pPr>
      <w:rPr>
        <w:rFonts w:ascii="Times New Roman" w:hAnsi="Times New Roman" w:cs="Times New Roman" w:hint="default"/>
        <w:sz w:val="32"/>
        <w:szCs w:val="3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4E2F1F"/>
    <w:multiLevelType w:val="hybridMultilevel"/>
    <w:tmpl w:val="5BC4E5E8"/>
    <w:lvl w:ilvl="0" w:tplc="74D80768">
      <w:start w:val="1"/>
      <w:numFmt w:val="upperLetter"/>
      <w:lvlText w:val="%1."/>
      <w:lvlJc w:val="left"/>
      <w:pPr>
        <w:ind w:left="720" w:hanging="360"/>
      </w:pPr>
      <w:rPr>
        <w:rFonts w:ascii="Times New Roman" w:hAnsi="Times New Roman" w:cs="Times New Roman" w:hint="default"/>
        <w:sz w:val="28"/>
        <w:szCs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4257747">
    <w:abstractNumId w:val="0"/>
  </w:num>
  <w:num w:numId="2" w16cid:durableId="1355767896">
    <w:abstractNumId w:val="1"/>
  </w:num>
  <w:num w:numId="3" w16cid:durableId="614793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08A"/>
    <w:rsid w:val="0018208A"/>
    <w:rsid w:val="00224CE4"/>
    <w:rsid w:val="0033396E"/>
    <w:rsid w:val="004374FB"/>
    <w:rsid w:val="0044340E"/>
    <w:rsid w:val="004B73A1"/>
    <w:rsid w:val="00545B3A"/>
    <w:rsid w:val="005B7C97"/>
    <w:rsid w:val="007510A0"/>
    <w:rsid w:val="009F7A0A"/>
    <w:rsid w:val="00AC140D"/>
    <w:rsid w:val="00B0359F"/>
    <w:rsid w:val="00B40C5B"/>
    <w:rsid w:val="00B42AC7"/>
    <w:rsid w:val="00BE7807"/>
    <w:rsid w:val="00CC4971"/>
    <w:rsid w:val="00D42F75"/>
    <w:rsid w:val="00D86EBB"/>
    <w:rsid w:val="00E02144"/>
    <w:rsid w:val="00FD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12B63"/>
  <w15:docId w15:val="{A05E2043-FA6E-4D00-A1FD-918BCD76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807"/>
    <w:pPr>
      <w:ind w:left="720"/>
      <w:contextualSpacing/>
    </w:pPr>
  </w:style>
  <w:style w:type="paragraph" w:styleId="BalloonText">
    <w:name w:val="Balloon Text"/>
    <w:basedOn w:val="Normal"/>
    <w:link w:val="BalloonTextChar"/>
    <w:uiPriority w:val="99"/>
    <w:semiHidden/>
    <w:unhideWhenUsed/>
    <w:rsid w:val="009F7A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A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1425</Words>
  <Characters>8128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Huff</dc:creator>
  <cp:lastModifiedBy>Jim Huff</cp:lastModifiedBy>
  <cp:revision>4</cp:revision>
  <cp:lastPrinted>2016-07-18T20:04:00Z</cp:lastPrinted>
  <dcterms:created xsi:type="dcterms:W3CDTF">2016-07-18T20:04:00Z</dcterms:created>
  <dcterms:modified xsi:type="dcterms:W3CDTF">2024-04-09T20:44:00Z</dcterms:modified>
</cp:coreProperties>
</file>