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290"/>
        <w:gridCol w:w="5265"/>
      </w:tblGrid>
      <w:tr w:rsidR="00D04847" w:rsidRPr="00D04847" w14:paraId="1A6E6084" w14:textId="77777777" w:rsidTr="00D04847">
        <w:trPr>
          <w:trHeight w:val="285"/>
        </w:trPr>
        <w:tc>
          <w:tcPr>
            <w:tcW w:w="5016" w:type="dxa"/>
          </w:tcPr>
          <w:p w14:paraId="1FAABB37" w14:textId="77777777" w:rsidR="00D04847" w:rsidRPr="00D04847" w:rsidRDefault="00D04847" w:rsidP="00D04847">
            <w:pPr>
              <w:ind w:right="-135"/>
              <w:rPr>
                <w:rFonts w:eastAsia="Calibri"/>
                <w:sz w:val="22"/>
                <w:szCs w:val="22"/>
              </w:rPr>
            </w:pPr>
            <w:r w:rsidRPr="00D04847">
              <w:rPr>
                <w:rFonts w:eastAsia="Calibri"/>
                <w:sz w:val="22"/>
                <w:szCs w:val="22"/>
              </w:rPr>
              <w:t>STATE OF SOUTH CAROLINA</w:t>
            </w:r>
          </w:p>
        </w:tc>
        <w:tc>
          <w:tcPr>
            <w:tcW w:w="290" w:type="dxa"/>
          </w:tcPr>
          <w:p w14:paraId="73DCDD3B"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tcPr>
          <w:p w14:paraId="7B201FBC" w14:textId="26D5CCB8" w:rsidR="00D04847" w:rsidRPr="00D04847" w:rsidRDefault="00D04847" w:rsidP="00D04847">
            <w:pPr>
              <w:rPr>
                <w:rFonts w:eastAsia="Times New Roman"/>
              </w:rPr>
            </w:pPr>
            <w:r w:rsidRPr="00D04847">
              <w:rPr>
                <w:rFonts w:eastAsia="Calibri"/>
                <w:sz w:val="22"/>
                <w:szCs w:val="22"/>
              </w:rPr>
              <w:t xml:space="preserve">IN THE </w:t>
            </w:r>
            <w:r w:rsidR="009614CC">
              <w:rPr>
                <w:rFonts w:eastAsia="Calibri"/>
                <w:sz w:val="22"/>
                <w:szCs w:val="22"/>
              </w:rPr>
              <w:t>MAGISTRATE’S COURT</w:t>
            </w:r>
          </w:p>
        </w:tc>
      </w:tr>
      <w:tr w:rsidR="00D04847" w:rsidRPr="00D04847" w14:paraId="28FDE49A" w14:textId="77777777" w:rsidTr="00D04847">
        <w:trPr>
          <w:trHeight w:val="256"/>
        </w:trPr>
        <w:tc>
          <w:tcPr>
            <w:tcW w:w="5016" w:type="dxa"/>
          </w:tcPr>
          <w:p w14:paraId="17796D1D" w14:textId="04D821DA" w:rsidR="00D04847" w:rsidRPr="00D04847" w:rsidRDefault="00D04847" w:rsidP="00D04847">
            <w:pPr>
              <w:rPr>
                <w:rFonts w:eastAsia="Times New Roman"/>
              </w:rPr>
            </w:pPr>
            <w:r w:rsidRPr="00D04847">
              <w:rPr>
                <w:rFonts w:eastAsia="Calibri"/>
                <w:sz w:val="22"/>
                <w:szCs w:val="22"/>
              </w:rPr>
              <w:t xml:space="preserve">COUNTY OF </w:t>
            </w:r>
            <w:r w:rsidRPr="00D04847">
              <w:rPr>
                <w:rFonts w:eastAsia="Times New Roman"/>
                <w:color w:val="263238"/>
                <w:shd w:val="clear" w:color="auto" w:fill="FFFFFF"/>
              </w:rPr>
              <w:t>LEXINGTON</w:t>
            </w:r>
          </w:p>
        </w:tc>
        <w:tc>
          <w:tcPr>
            <w:tcW w:w="290" w:type="dxa"/>
          </w:tcPr>
          <w:p w14:paraId="285BBE1D"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tcPr>
          <w:p w14:paraId="62992A70" w14:textId="546D7827" w:rsidR="00D04847" w:rsidRPr="00D04847" w:rsidRDefault="009614CC" w:rsidP="00D04847">
            <w:pPr>
              <w:rPr>
                <w:rFonts w:eastAsia="Times New Roman"/>
              </w:rPr>
            </w:pPr>
            <w:r>
              <w:rPr>
                <w:rFonts w:eastAsia="Times New Roman"/>
              </w:rPr>
              <w:t>FOR LEXINGTON COUNTY</w:t>
            </w:r>
          </w:p>
        </w:tc>
      </w:tr>
      <w:tr w:rsidR="00D04847" w:rsidRPr="00D04847" w14:paraId="418F0948" w14:textId="77777777" w:rsidTr="00D04847">
        <w:trPr>
          <w:trHeight w:val="207"/>
        </w:trPr>
        <w:tc>
          <w:tcPr>
            <w:tcW w:w="5016" w:type="dxa"/>
          </w:tcPr>
          <w:p w14:paraId="2F37C096" w14:textId="77777777" w:rsidR="00D04847" w:rsidRPr="00D04847" w:rsidRDefault="00D04847" w:rsidP="00D04847">
            <w:pPr>
              <w:ind w:right="-135"/>
              <w:rPr>
                <w:rFonts w:eastAsia="Calibri"/>
                <w:sz w:val="22"/>
                <w:szCs w:val="22"/>
              </w:rPr>
            </w:pPr>
          </w:p>
        </w:tc>
        <w:tc>
          <w:tcPr>
            <w:tcW w:w="290" w:type="dxa"/>
          </w:tcPr>
          <w:p w14:paraId="08E40FC4"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tcPr>
          <w:p w14:paraId="303D7A71" w14:textId="77777777" w:rsidR="00D04847" w:rsidRPr="00D04847" w:rsidRDefault="00D04847" w:rsidP="00D04847">
            <w:pPr>
              <w:rPr>
                <w:rFonts w:eastAsia="Calibri"/>
                <w:sz w:val="22"/>
                <w:szCs w:val="22"/>
              </w:rPr>
            </w:pPr>
          </w:p>
        </w:tc>
      </w:tr>
      <w:tr w:rsidR="00D04847" w:rsidRPr="00D04847" w14:paraId="52D54B20" w14:textId="77777777" w:rsidTr="00D04847">
        <w:trPr>
          <w:trHeight w:val="219"/>
        </w:trPr>
        <w:tc>
          <w:tcPr>
            <w:tcW w:w="5016" w:type="dxa"/>
          </w:tcPr>
          <w:p w14:paraId="2763ECE5" w14:textId="77777777" w:rsidR="00D04847" w:rsidRPr="00D04847" w:rsidRDefault="00D04847" w:rsidP="00D04847">
            <w:pPr>
              <w:ind w:right="-135"/>
              <w:rPr>
                <w:rFonts w:eastAsia="Calibri"/>
                <w:sz w:val="22"/>
                <w:szCs w:val="22"/>
              </w:rPr>
            </w:pPr>
            <w:r w:rsidRPr="00D04847">
              <w:rPr>
                <w:rFonts w:eastAsia="Calibri"/>
                <w:sz w:val="22"/>
                <w:szCs w:val="22"/>
              </w:rPr>
              <w:t>The State</w:t>
            </w:r>
          </w:p>
        </w:tc>
        <w:tc>
          <w:tcPr>
            <w:tcW w:w="290" w:type="dxa"/>
          </w:tcPr>
          <w:p w14:paraId="3F83C995"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tcPr>
          <w:p w14:paraId="3DD94267" w14:textId="5B85BF13" w:rsidR="006706C9" w:rsidRPr="0073519F" w:rsidRDefault="009614CC" w:rsidP="006706C9">
            <w:pPr>
              <w:jc w:val="center"/>
              <w:rPr>
                <w:rFonts w:eastAsia="Calibri"/>
                <w:b/>
                <w:sz w:val="22"/>
                <w:szCs w:val="22"/>
              </w:rPr>
            </w:pPr>
            <w:r>
              <w:rPr>
                <w:rFonts w:eastAsia="Calibri"/>
                <w:b/>
                <w:sz w:val="22"/>
                <w:szCs w:val="22"/>
              </w:rPr>
              <w:t>Motion to Dismiss</w:t>
            </w:r>
          </w:p>
        </w:tc>
      </w:tr>
      <w:tr w:rsidR="00D04847" w:rsidRPr="00D04847" w14:paraId="7FB81B52" w14:textId="77777777" w:rsidTr="00D04847">
        <w:trPr>
          <w:trHeight w:val="207"/>
        </w:trPr>
        <w:tc>
          <w:tcPr>
            <w:tcW w:w="5016" w:type="dxa"/>
          </w:tcPr>
          <w:p w14:paraId="5BAFDF11" w14:textId="77777777" w:rsidR="00D04847" w:rsidRPr="00D04847" w:rsidRDefault="00D04847" w:rsidP="00D04847">
            <w:pPr>
              <w:ind w:right="-135"/>
              <w:rPr>
                <w:rFonts w:eastAsia="Calibri"/>
                <w:sz w:val="22"/>
                <w:szCs w:val="22"/>
              </w:rPr>
            </w:pPr>
          </w:p>
        </w:tc>
        <w:tc>
          <w:tcPr>
            <w:tcW w:w="290" w:type="dxa"/>
          </w:tcPr>
          <w:p w14:paraId="050D8438"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tcPr>
          <w:p w14:paraId="7296012D" w14:textId="5C29A430" w:rsidR="00D04847" w:rsidRPr="00D04847" w:rsidRDefault="006706C9" w:rsidP="00D04847">
            <w:pPr>
              <w:jc w:val="center"/>
              <w:rPr>
                <w:rFonts w:eastAsia="Calibri"/>
                <w:b/>
                <w:sz w:val="22"/>
                <w:szCs w:val="22"/>
              </w:rPr>
            </w:pPr>
            <w:r>
              <w:rPr>
                <w:rFonts w:eastAsia="Calibri"/>
                <w:b/>
                <w:sz w:val="22"/>
                <w:szCs w:val="22"/>
              </w:rPr>
              <w:t>Brief in Support of Motion</w:t>
            </w:r>
          </w:p>
        </w:tc>
      </w:tr>
      <w:tr w:rsidR="00D04847" w:rsidRPr="00D04847" w14:paraId="433C6B98" w14:textId="77777777" w:rsidTr="00D04847">
        <w:trPr>
          <w:trHeight w:val="207"/>
        </w:trPr>
        <w:tc>
          <w:tcPr>
            <w:tcW w:w="5016" w:type="dxa"/>
          </w:tcPr>
          <w:p w14:paraId="54FD2248" w14:textId="77777777" w:rsidR="00D04847" w:rsidRPr="00D04847" w:rsidRDefault="00D04847" w:rsidP="00D04847">
            <w:pPr>
              <w:ind w:left="1500" w:right="-135"/>
              <w:rPr>
                <w:rFonts w:eastAsia="Calibri"/>
                <w:sz w:val="22"/>
                <w:szCs w:val="22"/>
              </w:rPr>
            </w:pPr>
            <w:r w:rsidRPr="00D04847">
              <w:rPr>
                <w:rFonts w:eastAsia="Calibri"/>
                <w:sz w:val="22"/>
                <w:szCs w:val="22"/>
              </w:rPr>
              <w:t>Vs.</w:t>
            </w:r>
          </w:p>
        </w:tc>
        <w:tc>
          <w:tcPr>
            <w:tcW w:w="290" w:type="dxa"/>
          </w:tcPr>
          <w:p w14:paraId="0E1909FD"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tcPr>
          <w:p w14:paraId="71A0DC9D" w14:textId="0D9CEF22" w:rsidR="00D04847" w:rsidRPr="006706C9" w:rsidRDefault="006706C9" w:rsidP="006706C9">
            <w:pPr>
              <w:jc w:val="center"/>
              <w:rPr>
                <w:rFonts w:eastAsia="Calibri"/>
                <w:b/>
                <w:sz w:val="22"/>
                <w:szCs w:val="22"/>
              </w:rPr>
            </w:pPr>
            <w:r w:rsidRPr="006706C9">
              <w:rPr>
                <w:rFonts w:eastAsia="Calibri"/>
                <w:b/>
                <w:sz w:val="22"/>
                <w:szCs w:val="22"/>
              </w:rPr>
              <w:t>Request for Hearing on Motion</w:t>
            </w:r>
          </w:p>
        </w:tc>
      </w:tr>
      <w:tr w:rsidR="00D04847" w:rsidRPr="00D04847" w14:paraId="7F4E7F42" w14:textId="77777777" w:rsidTr="00D04847">
        <w:trPr>
          <w:trHeight w:val="219"/>
        </w:trPr>
        <w:tc>
          <w:tcPr>
            <w:tcW w:w="5016" w:type="dxa"/>
          </w:tcPr>
          <w:p w14:paraId="7FF88A18" w14:textId="77777777" w:rsidR="00D04847" w:rsidRPr="00D04847" w:rsidRDefault="00D04847" w:rsidP="00D04847">
            <w:pPr>
              <w:ind w:right="-135"/>
              <w:rPr>
                <w:rFonts w:eastAsia="Calibri"/>
                <w:sz w:val="22"/>
                <w:szCs w:val="22"/>
              </w:rPr>
            </w:pPr>
          </w:p>
        </w:tc>
        <w:tc>
          <w:tcPr>
            <w:tcW w:w="290" w:type="dxa"/>
          </w:tcPr>
          <w:p w14:paraId="7CD6BFCA"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vMerge w:val="restart"/>
          </w:tcPr>
          <w:p w14:paraId="121DD43A" w14:textId="77777777" w:rsidR="00D04847" w:rsidRDefault="00D04847" w:rsidP="006706C9">
            <w:pPr>
              <w:rPr>
                <w:rFonts w:eastAsia="Times New Roman"/>
              </w:rPr>
            </w:pPr>
          </w:p>
          <w:p w14:paraId="1D6373A3" w14:textId="49C37E17" w:rsidR="006706C9" w:rsidRPr="00D04847" w:rsidRDefault="006706C9" w:rsidP="006706C9">
            <w:pPr>
              <w:ind w:left="720"/>
              <w:rPr>
                <w:rFonts w:eastAsia="Calibri"/>
                <w:sz w:val="22"/>
                <w:szCs w:val="22"/>
              </w:rPr>
            </w:pPr>
            <w:r>
              <w:rPr>
                <w:rFonts w:eastAsia="Calibri"/>
                <w:sz w:val="22"/>
                <w:szCs w:val="22"/>
              </w:rPr>
              <w:t xml:space="preserve">Ticket </w:t>
            </w:r>
            <w:r w:rsidRPr="00D04847">
              <w:rPr>
                <w:rFonts w:eastAsia="Calibri"/>
                <w:sz w:val="22"/>
                <w:szCs w:val="22"/>
              </w:rPr>
              <w:t xml:space="preserve">No.: </w:t>
            </w:r>
            <w:r w:rsidR="00C0395C">
              <w:rPr>
                <w:rFonts w:eastAsia="Calibri"/>
                <w:sz w:val="22"/>
                <w:szCs w:val="22"/>
              </w:rPr>
              <w:t>REDACTED</w:t>
            </w:r>
          </w:p>
          <w:p w14:paraId="74626F23" w14:textId="3EA319B4" w:rsidR="006706C9" w:rsidRPr="00D04847" w:rsidRDefault="006706C9" w:rsidP="006706C9">
            <w:pPr>
              <w:rPr>
                <w:rFonts w:eastAsia="Times New Roman"/>
              </w:rPr>
            </w:pPr>
          </w:p>
        </w:tc>
      </w:tr>
      <w:tr w:rsidR="00D04847" w:rsidRPr="00D04847" w14:paraId="6BCD36E2" w14:textId="77777777" w:rsidTr="00D04847">
        <w:trPr>
          <w:trHeight w:val="484"/>
        </w:trPr>
        <w:tc>
          <w:tcPr>
            <w:tcW w:w="5016" w:type="dxa"/>
          </w:tcPr>
          <w:p w14:paraId="0174F666" w14:textId="2E440FB2" w:rsidR="00D04847" w:rsidRPr="00D04847" w:rsidRDefault="00C0395C" w:rsidP="00D04847">
            <w:pPr>
              <w:rPr>
                <w:rFonts w:eastAsia="Times New Roman"/>
              </w:rPr>
            </w:pPr>
            <w:r>
              <w:rPr>
                <w:rFonts w:eastAsia="Times New Roman"/>
                <w:color w:val="263238"/>
                <w:shd w:val="clear" w:color="auto" w:fill="FFFFFF"/>
              </w:rPr>
              <w:t>REDACTED</w:t>
            </w:r>
            <w:r w:rsidR="00D04847" w:rsidRPr="00D04847">
              <w:rPr>
                <w:rFonts w:eastAsia="Calibri"/>
              </w:rPr>
              <w:t>,</w:t>
            </w:r>
          </w:p>
        </w:tc>
        <w:tc>
          <w:tcPr>
            <w:tcW w:w="290" w:type="dxa"/>
          </w:tcPr>
          <w:p w14:paraId="7F1D5E6C" w14:textId="77777777" w:rsidR="00D04847" w:rsidRPr="00D04847" w:rsidRDefault="00D04847" w:rsidP="00D04847">
            <w:pPr>
              <w:rPr>
                <w:rFonts w:eastAsia="Calibri"/>
                <w:sz w:val="22"/>
                <w:szCs w:val="22"/>
              </w:rPr>
            </w:pPr>
            <w:r w:rsidRPr="00D04847">
              <w:rPr>
                <w:rFonts w:eastAsia="Calibri"/>
                <w:sz w:val="22"/>
                <w:szCs w:val="22"/>
              </w:rPr>
              <w:t>)</w:t>
            </w:r>
          </w:p>
          <w:p w14:paraId="24BC5E5B"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vMerge/>
          </w:tcPr>
          <w:p w14:paraId="697C9782" w14:textId="77777777" w:rsidR="00D04847" w:rsidRPr="00D04847" w:rsidRDefault="00D04847" w:rsidP="00D04847">
            <w:pPr>
              <w:rPr>
                <w:rFonts w:eastAsia="Calibri"/>
                <w:sz w:val="22"/>
                <w:szCs w:val="22"/>
              </w:rPr>
            </w:pPr>
          </w:p>
        </w:tc>
      </w:tr>
      <w:tr w:rsidR="00D04847" w:rsidRPr="00D04847" w14:paraId="1D425C0C" w14:textId="77777777" w:rsidTr="00D04847">
        <w:trPr>
          <w:trHeight w:val="207"/>
        </w:trPr>
        <w:tc>
          <w:tcPr>
            <w:tcW w:w="5016" w:type="dxa"/>
          </w:tcPr>
          <w:p w14:paraId="3ABF6214" w14:textId="77777777" w:rsidR="00D04847" w:rsidRPr="00D04847" w:rsidRDefault="00D04847" w:rsidP="00D04847">
            <w:pPr>
              <w:ind w:right="-135" w:firstLine="2235"/>
              <w:rPr>
                <w:rFonts w:eastAsia="Calibri"/>
                <w:sz w:val="22"/>
                <w:szCs w:val="22"/>
              </w:rPr>
            </w:pPr>
            <w:r w:rsidRPr="00D04847">
              <w:rPr>
                <w:rFonts w:eastAsia="Calibri"/>
                <w:sz w:val="22"/>
                <w:szCs w:val="22"/>
              </w:rPr>
              <w:t>Defendant.</w:t>
            </w:r>
          </w:p>
        </w:tc>
        <w:tc>
          <w:tcPr>
            <w:tcW w:w="290" w:type="dxa"/>
          </w:tcPr>
          <w:p w14:paraId="5B227B58"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tcPr>
          <w:p w14:paraId="54E2D641" w14:textId="77777777" w:rsidR="00D04847" w:rsidRPr="00D04847" w:rsidRDefault="00D04847" w:rsidP="00D04847">
            <w:pPr>
              <w:rPr>
                <w:rFonts w:eastAsia="Calibri"/>
                <w:sz w:val="22"/>
                <w:szCs w:val="22"/>
              </w:rPr>
            </w:pPr>
          </w:p>
        </w:tc>
      </w:tr>
      <w:tr w:rsidR="00D04847" w:rsidRPr="00D04847" w14:paraId="43A7C6DF" w14:textId="77777777" w:rsidTr="00D04847">
        <w:trPr>
          <w:trHeight w:val="207"/>
        </w:trPr>
        <w:tc>
          <w:tcPr>
            <w:tcW w:w="5016" w:type="dxa"/>
          </w:tcPr>
          <w:p w14:paraId="15D2096F" w14:textId="77777777" w:rsidR="00D04847" w:rsidRPr="00D04847" w:rsidRDefault="00D04847" w:rsidP="00D04847">
            <w:pPr>
              <w:ind w:right="-135"/>
              <w:rPr>
                <w:rFonts w:eastAsia="Calibri"/>
                <w:sz w:val="22"/>
                <w:szCs w:val="22"/>
              </w:rPr>
            </w:pPr>
            <w:r w:rsidRPr="00D04847">
              <w:rPr>
                <w:rFonts w:eastAsia="Calibri"/>
                <w:sz w:val="22"/>
                <w:szCs w:val="22"/>
              </w:rPr>
              <w:t>_____________________________________</w:t>
            </w:r>
          </w:p>
        </w:tc>
        <w:tc>
          <w:tcPr>
            <w:tcW w:w="290" w:type="dxa"/>
          </w:tcPr>
          <w:p w14:paraId="35C0AF55" w14:textId="77777777" w:rsidR="00D04847" w:rsidRPr="00D04847" w:rsidRDefault="00D04847" w:rsidP="00D04847">
            <w:pPr>
              <w:rPr>
                <w:rFonts w:eastAsia="Calibri"/>
                <w:sz w:val="22"/>
                <w:szCs w:val="22"/>
              </w:rPr>
            </w:pPr>
            <w:r w:rsidRPr="00D04847">
              <w:rPr>
                <w:rFonts w:eastAsia="Calibri"/>
                <w:sz w:val="22"/>
                <w:szCs w:val="22"/>
              </w:rPr>
              <w:t>)</w:t>
            </w:r>
          </w:p>
        </w:tc>
        <w:tc>
          <w:tcPr>
            <w:tcW w:w="5265" w:type="dxa"/>
          </w:tcPr>
          <w:p w14:paraId="3C1318B6" w14:textId="77777777" w:rsidR="00D04847" w:rsidRPr="00D04847" w:rsidRDefault="00D04847" w:rsidP="00D04847">
            <w:pPr>
              <w:rPr>
                <w:rFonts w:eastAsia="Calibri"/>
                <w:sz w:val="22"/>
                <w:szCs w:val="22"/>
              </w:rPr>
            </w:pPr>
          </w:p>
        </w:tc>
      </w:tr>
    </w:tbl>
    <w:p w14:paraId="60D6C7D6" w14:textId="77777777" w:rsidR="0005010D" w:rsidRDefault="0005010D" w:rsidP="0005010D">
      <w:pPr>
        <w:spacing w:line="480" w:lineRule="auto"/>
      </w:pPr>
    </w:p>
    <w:p w14:paraId="7F26543E" w14:textId="33ADD993" w:rsidR="00B51FAE" w:rsidRDefault="0080516F" w:rsidP="00ED06C6">
      <w:pPr>
        <w:spacing w:line="480" w:lineRule="auto"/>
        <w:ind w:firstLine="720"/>
      </w:pPr>
      <w:r>
        <w:t xml:space="preserve">The Defendant, through Counsel, hereby </w:t>
      </w:r>
      <w:r w:rsidR="00ED06C6">
        <w:t>moves for the Court to dismiss the Defendant’s charge of Driving Under the Influence, less than .10, 1</w:t>
      </w:r>
      <w:r w:rsidR="00ED06C6" w:rsidRPr="00ED06C6">
        <w:rPr>
          <w:vertAlign w:val="superscript"/>
        </w:rPr>
        <w:t>st</w:t>
      </w:r>
      <w:r w:rsidR="00ED06C6">
        <w:t xml:space="preserve"> Offense on the grounds that South Carolina Code of Laws §56-5-2950(G) </w:t>
      </w:r>
      <w:r w:rsidR="009C25C0">
        <w:t>“conclusively presumes” that a person with a blood alcohol concentration of 0.05% or less</w:t>
      </w:r>
      <w:r w:rsidR="00DE2A26">
        <w:t xml:space="preserve"> </w:t>
      </w:r>
      <w:r w:rsidR="009C25C0">
        <w:t xml:space="preserve">was not under the influence of alcohol </w:t>
      </w:r>
      <w:r w:rsidR="00DE2A26">
        <w:t xml:space="preserve">at the time of the incident </w:t>
      </w:r>
      <w:r w:rsidR="009C25C0">
        <w:t>and the Defendant’s alleged blood alcohol concentration was 0.04%.</w:t>
      </w:r>
    </w:p>
    <w:p w14:paraId="51AA59FF" w14:textId="1F5F0230" w:rsidR="009C25C0" w:rsidRDefault="009C25C0" w:rsidP="00A220A1">
      <w:pPr>
        <w:spacing w:line="480" w:lineRule="auto"/>
        <w:jc w:val="center"/>
        <w:rPr>
          <w:b/>
        </w:rPr>
      </w:pPr>
      <w:r>
        <w:rPr>
          <w:b/>
        </w:rPr>
        <w:t>PROCEDURAL HISTORY</w:t>
      </w:r>
    </w:p>
    <w:p w14:paraId="1AE3BC23" w14:textId="16527055" w:rsidR="009C25C0" w:rsidRDefault="009C25C0" w:rsidP="009C25C0">
      <w:pPr>
        <w:spacing w:line="480" w:lineRule="auto"/>
        <w:ind w:firstLine="720"/>
      </w:pPr>
      <w:r>
        <w:t>The Defendant was arrested and charged on December 27, 2018 by Deputy K</w:t>
      </w:r>
      <w:r w:rsidR="008E3596">
        <w:t>y</w:t>
      </w:r>
      <w:r>
        <w:t xml:space="preserve">zer. </w:t>
      </w:r>
      <w:r w:rsidR="00A220A1">
        <w:t xml:space="preserve">The Defendant’s Attorney filed a Rule 5 Request and a Notice of Appearance which appears from the public index to have been received by the Court on January 11, 2019. </w:t>
      </w:r>
      <w:r>
        <w:t xml:space="preserve">The Defendant appeared for a </w:t>
      </w:r>
      <w:r w:rsidR="00A220A1">
        <w:t xml:space="preserve">Pre-Trial Hearing on February 27, 2019. The Defendant has had two Pre-Trial Hearings </w:t>
      </w:r>
      <w:r w:rsidR="00DE2A26">
        <w:t xml:space="preserve">subsequently </w:t>
      </w:r>
      <w:r w:rsidR="00A220A1">
        <w:t>continued. The Defendant is scheduled to appear for a Pre-Trial Hearing on May 8, 2019.</w:t>
      </w:r>
    </w:p>
    <w:p w14:paraId="61CCE72D" w14:textId="41E30121" w:rsidR="00A220A1" w:rsidRDefault="00A220A1" w:rsidP="00A220A1">
      <w:pPr>
        <w:spacing w:line="480" w:lineRule="auto"/>
        <w:jc w:val="center"/>
        <w:rPr>
          <w:b/>
        </w:rPr>
      </w:pPr>
      <w:r>
        <w:rPr>
          <w:b/>
        </w:rPr>
        <w:t>FACTS</w:t>
      </w:r>
    </w:p>
    <w:p w14:paraId="09F7282E" w14:textId="67DEAD11" w:rsidR="00A220A1" w:rsidRDefault="00A220A1" w:rsidP="00A220A1">
      <w:pPr>
        <w:spacing w:line="480" w:lineRule="auto"/>
        <w:ind w:firstLine="720"/>
      </w:pPr>
      <w:r>
        <w:t>The Defendant was charged</w:t>
      </w:r>
      <w:r w:rsidR="00D64046">
        <w:t xml:space="preserve"> by Deputy Kyzer</w:t>
      </w:r>
      <w:r>
        <w:t xml:space="preserve"> on </w:t>
      </w:r>
      <w:r w:rsidR="00D64046">
        <w:t>December 27, 2018 with Driving Under the Influence, less than .10, 1</w:t>
      </w:r>
      <w:r w:rsidR="00D64046" w:rsidRPr="00ED06C6">
        <w:rPr>
          <w:vertAlign w:val="superscript"/>
        </w:rPr>
        <w:t>st</w:t>
      </w:r>
      <w:r w:rsidR="00D64046">
        <w:t xml:space="preserve"> Offense. According to the Deputy’s report, the Defendant admitted that he had been driving and that he had previously been drinking. Additionally, Deputy Kyzer’s</w:t>
      </w:r>
      <w:r w:rsidR="00DE2A26">
        <w:t xml:space="preserve"> report</w:t>
      </w:r>
      <w:r w:rsidR="00D64046">
        <w:t xml:space="preserve"> indicates that he believed that the Defendant failed the field sobriety tests offered </w:t>
      </w:r>
      <w:r w:rsidR="00D64046">
        <w:lastRenderedPageBreak/>
        <w:t xml:space="preserve">to the Defendant. Deputy Kyzer’s report indicates that he smelled the odor of alcohol coming from the Defendant. Deputy Kyzer’s report indicates that he </w:t>
      </w:r>
      <w:r w:rsidR="00C76641">
        <w:t xml:space="preserve">believed the Defendant to be under the influence of drugs or alcohol. </w:t>
      </w:r>
      <w:r w:rsidR="00D64046">
        <w:t xml:space="preserve">Deputy Kyzer’s report indicates that he arrested the Defendant and took </w:t>
      </w:r>
      <w:r w:rsidR="00C76641">
        <w:t>the Defendant to the Lexington County Detention Center. Deputy Kyzer’s report indicates that he offered a Datamaster blood alcohol concentration test to the Defendant and the Defendant’s test resulted in a reading of .04%. Deputy Kyzer’s report does not reflect that he offered the Defendant any further urine or blood tests.</w:t>
      </w:r>
      <w:r w:rsidR="008E3596">
        <w:t xml:space="preserve"> Deputy Kyzer’s report does not reflect any evidence of the Defendant being under the influence of any drug.</w:t>
      </w:r>
    </w:p>
    <w:p w14:paraId="402D50AF" w14:textId="528FCD7D" w:rsidR="00C76641" w:rsidRPr="00C76641" w:rsidRDefault="00C76641" w:rsidP="00C76641">
      <w:pPr>
        <w:spacing w:line="480" w:lineRule="auto"/>
        <w:jc w:val="center"/>
        <w:rPr>
          <w:b/>
        </w:rPr>
      </w:pPr>
      <w:r>
        <w:rPr>
          <w:b/>
        </w:rPr>
        <w:t>RELEVANT LAW</w:t>
      </w:r>
    </w:p>
    <w:p w14:paraId="5182DE50" w14:textId="3AEEAD78" w:rsidR="00C76641" w:rsidRDefault="00C76641" w:rsidP="00A9784F">
      <w:pPr>
        <w:spacing w:line="480" w:lineRule="auto"/>
        <w:ind w:firstLine="720"/>
      </w:pPr>
      <w:r>
        <w:t>South Carolina Code of Laws §56-5-2930(A) is the statutory text prohibiting driving under the influence and it specifically prohibits the following:</w:t>
      </w:r>
    </w:p>
    <w:p w14:paraId="1D492849" w14:textId="51416560" w:rsidR="00C76641" w:rsidRDefault="00C76641" w:rsidP="001843C0">
      <w:pPr>
        <w:ind w:left="720" w:right="720"/>
      </w:pPr>
      <w:r>
        <w:t xml:space="preserve"> “</w:t>
      </w:r>
      <w:r w:rsidRPr="00C76641">
        <w:t>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substances which cause impairment to the extent that the person’s faculties to drive a motor vehicle are materially and appreciably impaired</w:t>
      </w:r>
      <w:r>
        <w:t>.”</w:t>
      </w:r>
    </w:p>
    <w:p w14:paraId="54DAE552" w14:textId="77777777" w:rsidR="001843C0" w:rsidRPr="00A220A1" w:rsidRDefault="001843C0" w:rsidP="001843C0">
      <w:pPr>
        <w:ind w:left="720" w:right="720"/>
      </w:pPr>
    </w:p>
    <w:p w14:paraId="666F2FC0" w14:textId="413C7B34" w:rsidR="00ED06C6" w:rsidRDefault="00DC148A" w:rsidP="009614CC">
      <w:pPr>
        <w:spacing w:line="480" w:lineRule="auto"/>
      </w:pPr>
      <w:r>
        <w:t>In order to be convicted of Driving under the Influence, the State must prove:</w:t>
      </w:r>
    </w:p>
    <w:p w14:paraId="484F4E56" w14:textId="44D80BF9" w:rsidR="00DC148A" w:rsidRDefault="00DC148A" w:rsidP="001843C0">
      <w:pPr>
        <w:pStyle w:val="ListParagraph"/>
        <w:numPr>
          <w:ilvl w:val="0"/>
          <w:numId w:val="4"/>
        </w:numPr>
      </w:pPr>
      <w:r>
        <w:t>A person,</w:t>
      </w:r>
    </w:p>
    <w:p w14:paraId="774023CA" w14:textId="2F5022C7" w:rsidR="00DC148A" w:rsidRDefault="00DC148A" w:rsidP="001843C0">
      <w:pPr>
        <w:pStyle w:val="ListParagraph"/>
        <w:numPr>
          <w:ilvl w:val="0"/>
          <w:numId w:val="4"/>
        </w:numPr>
      </w:pPr>
      <w:r>
        <w:t>Drove a vehicle,</w:t>
      </w:r>
    </w:p>
    <w:p w14:paraId="32AA5B1F" w14:textId="30530589" w:rsidR="00DC148A" w:rsidRDefault="00DC148A" w:rsidP="001843C0">
      <w:pPr>
        <w:pStyle w:val="ListParagraph"/>
        <w:numPr>
          <w:ilvl w:val="0"/>
          <w:numId w:val="4"/>
        </w:numPr>
      </w:pPr>
      <w:r>
        <w:t>Within South Carolina,</w:t>
      </w:r>
    </w:p>
    <w:p w14:paraId="4B4C1084" w14:textId="372C4DEB" w:rsidR="00DC148A" w:rsidRDefault="00DC148A" w:rsidP="001843C0">
      <w:pPr>
        <w:pStyle w:val="ListParagraph"/>
        <w:numPr>
          <w:ilvl w:val="0"/>
          <w:numId w:val="4"/>
        </w:numPr>
      </w:pPr>
      <w:r>
        <w:t>While under the influence of alcohol, a drug or drugs, or a combination thereof, to the extent that</w:t>
      </w:r>
    </w:p>
    <w:p w14:paraId="50B9A8A5" w14:textId="52799C9D" w:rsidR="001843C0" w:rsidRDefault="00DC148A" w:rsidP="001843C0">
      <w:pPr>
        <w:pStyle w:val="ListParagraph"/>
        <w:numPr>
          <w:ilvl w:val="0"/>
          <w:numId w:val="4"/>
        </w:numPr>
      </w:pPr>
      <w:r>
        <w:t xml:space="preserve">The person’s faculties to drive were </w:t>
      </w:r>
      <w:r w:rsidR="001843C0">
        <w:t>impaired, both</w:t>
      </w:r>
    </w:p>
    <w:p w14:paraId="4E6670E2" w14:textId="77777777" w:rsidR="001843C0" w:rsidRDefault="001843C0" w:rsidP="001843C0">
      <w:pPr>
        <w:pStyle w:val="ListParagraph"/>
        <w:numPr>
          <w:ilvl w:val="1"/>
          <w:numId w:val="4"/>
        </w:numPr>
      </w:pPr>
      <w:r>
        <w:t>M</w:t>
      </w:r>
      <w:r w:rsidR="00DC148A">
        <w:t>aterially</w:t>
      </w:r>
      <w:r>
        <w:t>;</w:t>
      </w:r>
      <w:r w:rsidR="00DC148A">
        <w:t xml:space="preserve"> and </w:t>
      </w:r>
    </w:p>
    <w:p w14:paraId="127EBB4E" w14:textId="3A44524F" w:rsidR="00DC148A" w:rsidRDefault="001843C0" w:rsidP="001843C0">
      <w:pPr>
        <w:pStyle w:val="ListParagraph"/>
        <w:numPr>
          <w:ilvl w:val="1"/>
          <w:numId w:val="4"/>
        </w:numPr>
      </w:pPr>
      <w:r>
        <w:t>A</w:t>
      </w:r>
      <w:r w:rsidR="00DC148A">
        <w:t>ppreciably</w:t>
      </w:r>
      <w:r>
        <w:t>.</w:t>
      </w:r>
    </w:p>
    <w:p w14:paraId="46F3F8CE" w14:textId="77777777" w:rsidR="001843C0" w:rsidRDefault="001843C0" w:rsidP="001843C0">
      <w:pPr>
        <w:pStyle w:val="ListParagraph"/>
      </w:pPr>
    </w:p>
    <w:p w14:paraId="26543A9C" w14:textId="44752A43" w:rsidR="00736D4A" w:rsidRDefault="00DC148A" w:rsidP="00A9784F">
      <w:pPr>
        <w:spacing w:line="480" w:lineRule="auto"/>
        <w:ind w:firstLine="720"/>
      </w:pPr>
      <w:r>
        <w:t>In order to establish that a person was</w:t>
      </w:r>
      <w:r w:rsidR="00736D4A">
        <w:t xml:space="preserve"> or was not</w:t>
      </w:r>
      <w:r>
        <w:t xml:space="preserve"> under the influence of alcohol such that their ability to drive was materially and appreciably impaired, the South Carolina legislature has </w:t>
      </w:r>
      <w:r>
        <w:lastRenderedPageBreak/>
        <w:t xml:space="preserve">adopted a </w:t>
      </w:r>
      <w:r w:rsidR="00795102">
        <w:t>statutory scheme regarding</w:t>
      </w:r>
      <w:r w:rsidR="00736D4A">
        <w:t xml:space="preserve"> the</w:t>
      </w:r>
      <w:r w:rsidR="00795102">
        <w:t xml:space="preserve"> </w:t>
      </w:r>
      <w:r w:rsidR="00736D4A">
        <w:t>alcohol concentrations of defendants who have had chemical analyses of their breath or bodily fluids. §56-5-2950(G) of the South Carolina Code of Laws states the following:</w:t>
      </w:r>
    </w:p>
    <w:p w14:paraId="5DE8FDF9" w14:textId="00A0151E" w:rsidR="00736D4A" w:rsidRDefault="00736D4A" w:rsidP="00736D4A">
      <w:pPr>
        <w:ind w:left="720" w:right="720"/>
      </w:pPr>
      <w:r>
        <w:t>“In the criminal prosecution for a violation of Section 56-5-2930, 56-5-2933, or 56-5-2945 the alcohol concentration at the time of the test, as shown by chemical analysis of the person’s breath or other body fluids, gives rise to the following:</w:t>
      </w:r>
    </w:p>
    <w:p w14:paraId="4E64182A" w14:textId="77777777" w:rsidR="00736D4A" w:rsidRDefault="00736D4A" w:rsidP="00736D4A">
      <w:pPr>
        <w:ind w:left="1440" w:right="720"/>
      </w:pPr>
      <w:r>
        <w:t>(1) if the alcohol concentration was at that time five one-hundredths of one percent or less, it is conclusively presumed that the person was not under the influence of alcohol;</w:t>
      </w:r>
    </w:p>
    <w:p w14:paraId="70FFF3DF" w14:textId="77777777" w:rsidR="00736D4A" w:rsidRDefault="00736D4A" w:rsidP="00736D4A">
      <w:pPr>
        <w:ind w:left="1440" w:right="720"/>
      </w:pPr>
      <w:r>
        <w:t>(2) if the alcohol concentration was at that time in excess of five one-hundredths of one percent but less than eight one-hundredths of one percent, this fact does not give rise to any inference that the person was or was not under the influence of alcohol, but this fact may be considered with other evidence in determining the guilt or innocence of the person; or</w:t>
      </w:r>
    </w:p>
    <w:p w14:paraId="263BB271" w14:textId="77777777" w:rsidR="00736D4A" w:rsidRDefault="00736D4A" w:rsidP="00736D4A">
      <w:pPr>
        <w:ind w:left="1440" w:right="720"/>
      </w:pPr>
      <w:r>
        <w:t>(3) if the alcohol concentration was at that time eight one-hundredths of one percent or more, it may be inferred that the person was under the influence of alcohol.</w:t>
      </w:r>
    </w:p>
    <w:p w14:paraId="5B5AAEF0" w14:textId="57028870" w:rsidR="00736D4A" w:rsidRDefault="00736D4A" w:rsidP="00736D4A">
      <w:pPr>
        <w:ind w:left="720" w:right="720"/>
      </w:pPr>
      <w:r>
        <w:t>The provisions of this section must not be construed as limiting the introduction of any other evidence bearing upon the question of whether or not the person was under the influence of alcohol, drugs, or a combination of alcohol and drugs.”</w:t>
      </w:r>
    </w:p>
    <w:p w14:paraId="173920B5" w14:textId="05A88870" w:rsidR="00736D4A" w:rsidRDefault="00736D4A" w:rsidP="00736D4A">
      <w:pPr>
        <w:ind w:left="720" w:right="720"/>
      </w:pPr>
    </w:p>
    <w:p w14:paraId="2D86EB82" w14:textId="3F812890" w:rsidR="00736D4A" w:rsidRDefault="0052315A" w:rsidP="0052315A">
      <w:pPr>
        <w:spacing w:line="480" w:lineRule="auto"/>
        <w:ind w:right="720"/>
      </w:pPr>
      <w:r>
        <w:t xml:space="preserve">The legislature has specifically incorporated into its statutes a conclusive presumption that a person was not under the influence of alcohol for the purposes of a prosecution of §56-5-2930 when a chemical analysis of a Defendant’s breath or bodily fluids shows a blood alcohol concentration of .05% or less. </w:t>
      </w:r>
    </w:p>
    <w:p w14:paraId="785E3C89" w14:textId="6F7485E0" w:rsidR="00A9784F" w:rsidRDefault="0052315A" w:rsidP="00A9784F">
      <w:pPr>
        <w:spacing w:line="480" w:lineRule="auto"/>
        <w:ind w:right="720" w:firstLine="720"/>
      </w:pPr>
      <w:r>
        <w:t xml:space="preserve">The South Carolina Supreme Court recognized this conclusive presumption of non-impairment in </w:t>
      </w:r>
      <w:r w:rsidRPr="0052315A">
        <w:rPr>
          <w:u w:val="single"/>
        </w:rPr>
        <w:t>Stephens v. CSX Transp., Inc.</w:t>
      </w:r>
      <w:r>
        <w:t xml:space="preserve">. </w:t>
      </w:r>
      <w:r w:rsidRPr="0052315A">
        <w:t>415 S.C. 182, 781 S.E.2d 534 (2015)</w:t>
      </w:r>
      <w:r>
        <w:t xml:space="preserve">. In that case, a </w:t>
      </w:r>
      <w:r w:rsidR="00E6719B">
        <w:t>woman</w:t>
      </w:r>
      <w:r w:rsidR="0032684B">
        <w:t xml:space="preserve"> named Colvin</w:t>
      </w:r>
      <w:r w:rsidR="00E6719B">
        <w:t xml:space="preserve"> who had a blood alcohol content of .018% was the driver of a vehicle involved in a train accident. </w:t>
      </w:r>
      <w:r w:rsidR="00E6719B">
        <w:rPr>
          <w:u w:val="single"/>
        </w:rPr>
        <w:t>Id</w:t>
      </w:r>
      <w:r w:rsidR="00E6719B">
        <w:t xml:space="preserve"> at 190, 538.  On appeal, one of the issues asserted was that the “trial judge erred in charging the jury section 56-5-2930, the criminal statute involving the charge of driving under the influence ("DUI"), but refusing </w:t>
      </w:r>
      <w:r w:rsidR="00E6719B">
        <w:lastRenderedPageBreak/>
        <w:t xml:space="preserve">to charge section 56-5-2950(b)(1) to show that Colvin was presumptively not impaired by alcohol as her blood alcohol content was .018%.” </w:t>
      </w:r>
      <w:r w:rsidR="00E6719B">
        <w:rPr>
          <w:u w:val="single"/>
        </w:rPr>
        <w:t>Id</w:t>
      </w:r>
      <w:r w:rsidR="00E6719B">
        <w:t xml:space="preserve"> at 206, 547. </w:t>
      </w:r>
    </w:p>
    <w:p w14:paraId="280E93B0" w14:textId="48AAA984" w:rsidR="00E6719B" w:rsidRDefault="00E6719B" w:rsidP="00A9784F">
      <w:pPr>
        <w:spacing w:line="480" w:lineRule="auto"/>
        <w:ind w:right="720" w:firstLine="720"/>
      </w:pPr>
      <w:r>
        <w:t xml:space="preserve">The Court ruled that “they were most troubled by this </w:t>
      </w:r>
      <w:r w:rsidR="0032684B">
        <w:t xml:space="preserve">issue.” </w:t>
      </w:r>
      <w:r w:rsidR="0032684B">
        <w:rPr>
          <w:u w:val="single"/>
        </w:rPr>
        <w:t>Id</w:t>
      </w:r>
      <w:r w:rsidR="0032684B">
        <w:t xml:space="preserve">. The Court ruled that “because </w:t>
      </w:r>
      <w:r w:rsidR="0032684B" w:rsidRPr="0032684B">
        <w:t>Petitioner presented evidence that Colvin's blood alcohol content was .018%, we find Petitioner was entitled to have the jury instructed on the statutory presumption provided in section 56-5-2950(b)(1).</w:t>
      </w:r>
      <w:r w:rsidR="0032684B">
        <w:t xml:space="preserve">” </w:t>
      </w:r>
      <w:r w:rsidR="0032684B" w:rsidRPr="0032684B">
        <w:rPr>
          <w:u w:val="single"/>
        </w:rPr>
        <w:t>Id</w:t>
      </w:r>
      <w:r w:rsidR="0032684B">
        <w:t xml:space="preserve"> at 207, 547. </w:t>
      </w:r>
      <w:r w:rsidR="0032684B" w:rsidRPr="0032684B">
        <w:t>The</w:t>
      </w:r>
      <w:r w:rsidR="0032684B">
        <w:t xml:space="preserve"> Court then went on to find that “</w:t>
      </w:r>
      <w:r w:rsidR="0032684B" w:rsidRPr="0032684B">
        <w:t>In the absence of this instruction, it is arguable the jury found Colvin was impaired while driving</w:t>
      </w:r>
      <w:r w:rsidR="0032684B">
        <w:t>” indicating that the Jury could not have found Colvin impaired while driving had the Jury been instructed as to the statutory presumption of 56-5-2950(b)(1). Additionally, the South Carolina Supreme Court, in footnote 19, noted</w:t>
      </w:r>
      <w:r w:rsidR="0032684B" w:rsidRPr="0032684B">
        <w:t xml:space="preserve"> </w:t>
      </w:r>
      <w:r w:rsidR="0032684B">
        <w:t>“</w:t>
      </w:r>
      <w:r w:rsidR="0032684B" w:rsidRPr="0032684B">
        <w:t>section 56-5-2950(b)(1) is now codified as section 56-5-2950(G)(1)</w:t>
      </w:r>
      <w:r w:rsidR="0032684B">
        <w:t xml:space="preserve">” in order to ensure that their holding reflected and was applicable to both the law as it existed at the time of the incident of that case and the current </w:t>
      </w:r>
      <w:r w:rsidR="008E3596">
        <w:t>law as established by</w:t>
      </w:r>
      <w:r w:rsidR="0032684B">
        <w:t xml:space="preserve"> the South Carolina legislature.</w:t>
      </w:r>
      <w:r w:rsidR="008E3596">
        <w:t xml:space="preserve"> </w:t>
      </w:r>
      <w:r w:rsidR="008E3596">
        <w:rPr>
          <w:u w:val="single"/>
        </w:rPr>
        <w:t>Id</w:t>
      </w:r>
      <w:r w:rsidR="008E3596">
        <w:t xml:space="preserve"> at 206, 547.</w:t>
      </w:r>
    </w:p>
    <w:p w14:paraId="18BFCDF3" w14:textId="737876DA" w:rsidR="00B55F87" w:rsidRDefault="00B55F87" w:rsidP="00A9784F">
      <w:pPr>
        <w:spacing w:line="480" w:lineRule="auto"/>
        <w:ind w:right="720" w:firstLine="720"/>
      </w:pPr>
      <w:r w:rsidRPr="00991BBF">
        <w:t>In construing a statute,</w:t>
      </w:r>
      <w:r>
        <w:t xml:space="preserve"> the</w:t>
      </w:r>
      <w:r w:rsidRPr="00991BBF">
        <w:t xml:space="preserve"> “</w:t>
      </w:r>
      <w:r>
        <w:t>t</w:t>
      </w:r>
      <w:r w:rsidRPr="00991BBF">
        <w:t>he cardinal rule of statutory construction is to ascertain and effectuate the intent of the legislature.”</w:t>
      </w:r>
      <w:r>
        <w:t xml:space="preserve"> </w:t>
      </w:r>
      <w:r w:rsidRPr="00991BBF">
        <w:rPr>
          <w:u w:val="single"/>
        </w:rPr>
        <w:t>Hodges v. Rainey</w:t>
      </w:r>
      <w:r w:rsidRPr="00991BBF">
        <w:t>, 341 S.C. 79, 85, 533 S.E.2d 578, 581 (2000)</w:t>
      </w:r>
      <w:r>
        <w:t xml:space="preserve">. </w:t>
      </w:r>
      <w:r w:rsidRPr="00991BBF">
        <w:rPr>
          <w:u w:val="single"/>
        </w:rPr>
        <w:t>Hodges</w:t>
      </w:r>
      <w:r>
        <w:t xml:space="preserve"> also went on to say that “</w:t>
      </w:r>
      <w:r w:rsidRPr="00991BBF">
        <w:t>Under the plain meaning rule, it is not the court's place to change the meaning of a clear and unambiguous statute.</w:t>
      </w:r>
      <w:r>
        <w:t xml:space="preserve">” </w:t>
      </w:r>
      <w:r>
        <w:rPr>
          <w:u w:val="single"/>
        </w:rPr>
        <w:t>Id</w:t>
      </w:r>
      <w:r>
        <w:t xml:space="preserve">. </w:t>
      </w:r>
      <w:r>
        <w:rPr>
          <w:u w:val="single"/>
        </w:rPr>
        <w:t>Hodges</w:t>
      </w:r>
      <w:r>
        <w:t xml:space="preserve"> further stated that “</w:t>
      </w:r>
      <w:r w:rsidRPr="00B55F87">
        <w:t>Where the statute's language is plain and unambiguous, and conveys a clear and definite meaning, the rules of statutory interpretation are not needed and the court has no right to impose another meaning.</w:t>
      </w:r>
      <w:r>
        <w:t xml:space="preserve">” </w:t>
      </w:r>
      <w:r>
        <w:rPr>
          <w:u w:val="single"/>
        </w:rPr>
        <w:t>Id</w:t>
      </w:r>
      <w:r>
        <w:t xml:space="preserve">. Additionally, in South Carolina, the tie goes to the defendant, or “when a statute is penal in nature, it must be </w:t>
      </w:r>
      <w:r>
        <w:lastRenderedPageBreak/>
        <w:t xml:space="preserve">construed strictly against the State and in favor of the defendant.” </w:t>
      </w:r>
      <w:r w:rsidRPr="00B55F87">
        <w:rPr>
          <w:u w:val="single"/>
        </w:rPr>
        <w:t>State v. Blackmon</w:t>
      </w:r>
      <w:r>
        <w:t xml:space="preserve">, 304 S.C. 270, 273, 403 S.E.2d 660, 662 (1991). </w:t>
      </w:r>
    </w:p>
    <w:p w14:paraId="0FEA71C0" w14:textId="38AF5536" w:rsidR="00A9784F" w:rsidRPr="005F3A8B" w:rsidRDefault="005F3A8B" w:rsidP="00A9784F">
      <w:pPr>
        <w:spacing w:line="480" w:lineRule="auto"/>
        <w:ind w:right="720" w:firstLine="720"/>
      </w:pPr>
      <w:r>
        <w:t>Black’s Law Dictionary specifically defines a conclusive presumption as “A presumption that cannot be overcome by any additional evidence or argument.” Black’s Law Dictionary 558 (3</w:t>
      </w:r>
      <w:r w:rsidRPr="005F3A8B">
        <w:rPr>
          <w:vertAlign w:val="superscript"/>
        </w:rPr>
        <w:t>rd</w:t>
      </w:r>
      <w:r>
        <w:t xml:space="preserve"> Pocket ed. 2006). </w:t>
      </w:r>
    </w:p>
    <w:p w14:paraId="397BD56E" w14:textId="4FA8765A" w:rsidR="008E3596" w:rsidRDefault="008E3596" w:rsidP="008E3596">
      <w:pPr>
        <w:spacing w:line="480" w:lineRule="auto"/>
        <w:ind w:right="720"/>
        <w:jc w:val="center"/>
        <w:rPr>
          <w:b/>
        </w:rPr>
      </w:pPr>
      <w:r>
        <w:rPr>
          <w:b/>
        </w:rPr>
        <w:t>APPLICATION</w:t>
      </w:r>
    </w:p>
    <w:p w14:paraId="48447C90" w14:textId="6EAC2ED1" w:rsidR="00991BBF" w:rsidRPr="00991BBF" w:rsidRDefault="008E3596" w:rsidP="00991BBF">
      <w:pPr>
        <w:pStyle w:val="ListParagraph"/>
        <w:numPr>
          <w:ilvl w:val="0"/>
          <w:numId w:val="5"/>
        </w:numPr>
        <w:spacing w:line="360" w:lineRule="auto"/>
        <w:ind w:left="360" w:right="720" w:hanging="360"/>
      </w:pPr>
      <w:r>
        <w:rPr>
          <w:u w:val="single"/>
        </w:rPr>
        <w:t xml:space="preserve">The Defendant’s Charge must be dismissed because the Defendant’s Blood Alcohol Concentration as quantified by testing of the State for this prosecution leads to a conclusive presumption that the Defendant was not </w:t>
      </w:r>
      <w:r w:rsidR="00991BBF">
        <w:rPr>
          <w:u w:val="single"/>
        </w:rPr>
        <w:t xml:space="preserve">under the influence of alcohol for purposes of this prosecution. </w:t>
      </w:r>
    </w:p>
    <w:p w14:paraId="5E8D07D4" w14:textId="77777777" w:rsidR="00991BBF" w:rsidRPr="008E3596" w:rsidRDefault="00991BBF" w:rsidP="00991BBF">
      <w:pPr>
        <w:spacing w:line="360" w:lineRule="auto"/>
        <w:ind w:right="720"/>
      </w:pPr>
    </w:p>
    <w:p w14:paraId="386C38F1" w14:textId="4C9B7360" w:rsidR="00A9784F" w:rsidRDefault="005F3A8B" w:rsidP="00736D4A">
      <w:pPr>
        <w:ind w:right="720"/>
      </w:pPr>
      <w:r>
        <w:t>§56-5-2950(G)(1) of the South Carolina Code of Laws states:</w:t>
      </w:r>
    </w:p>
    <w:p w14:paraId="02A6163A" w14:textId="77777777" w:rsidR="00A9784F" w:rsidRDefault="00A9784F" w:rsidP="00736D4A">
      <w:pPr>
        <w:ind w:right="720"/>
      </w:pPr>
    </w:p>
    <w:p w14:paraId="64B44BE8" w14:textId="77777777" w:rsidR="005F3A8B" w:rsidRDefault="005F3A8B" w:rsidP="005F3A8B">
      <w:pPr>
        <w:ind w:left="720" w:right="720"/>
      </w:pPr>
      <w:r>
        <w:t>“In the criminal prosecution for a violation of Section 56-5-2930, 56-5-2933, or 56-5-2945 the alcohol concentration at the time of the test, as shown by chemical analysis of the person’s breath or other body fluids, gives rise to the following:</w:t>
      </w:r>
    </w:p>
    <w:p w14:paraId="73D0F58B" w14:textId="72A0BA51" w:rsidR="005F3A8B" w:rsidRDefault="005F3A8B" w:rsidP="005F3A8B">
      <w:pPr>
        <w:ind w:left="1440" w:right="720"/>
      </w:pPr>
      <w:r>
        <w:t>(1) if the alcohol concentration was at that time five one-hundredths of one percent or less, it is conclusively presumed that the person was not under the influence of alcohol.”</w:t>
      </w:r>
    </w:p>
    <w:p w14:paraId="1B18A658" w14:textId="77777777" w:rsidR="005F3A8B" w:rsidRDefault="005F3A8B" w:rsidP="005F3A8B">
      <w:pPr>
        <w:ind w:left="1440" w:right="720"/>
      </w:pPr>
    </w:p>
    <w:p w14:paraId="0EEE3D5A" w14:textId="6DF41886" w:rsidR="005F3A8B" w:rsidRDefault="005F3A8B" w:rsidP="006706C9">
      <w:pPr>
        <w:spacing w:line="480" w:lineRule="auto"/>
        <w:ind w:right="720"/>
      </w:pPr>
      <w:r>
        <w:t xml:space="preserve">Additionally, Black’s Law </w:t>
      </w:r>
      <w:r w:rsidR="006706C9">
        <w:t>is clear that a conclusive presumption is “A presumption that cannot be overcome by any additional evidence or argument.”</w:t>
      </w:r>
      <w:r w:rsidR="006706C9" w:rsidRPr="006706C9">
        <w:t xml:space="preserve"> </w:t>
      </w:r>
      <w:r w:rsidR="006706C9">
        <w:t>Black’s Law Dictionary 558 (3</w:t>
      </w:r>
      <w:r w:rsidR="006706C9" w:rsidRPr="005F3A8B">
        <w:rPr>
          <w:vertAlign w:val="superscript"/>
        </w:rPr>
        <w:t>rd</w:t>
      </w:r>
      <w:r w:rsidR="006706C9">
        <w:t xml:space="preserve"> Pocket ed. 2006). The South Carolina Supreme Court has affirmed that a jury cannot find a person impaired for alcohol impairment where the alcohol concentration is .05% or below. </w:t>
      </w:r>
      <w:r w:rsidR="006706C9" w:rsidRPr="0052315A">
        <w:rPr>
          <w:u w:val="single"/>
        </w:rPr>
        <w:t>Stephens v. CSX Transp., Inc.</w:t>
      </w:r>
      <w:r w:rsidR="006706C9">
        <w:t xml:space="preserve">. </w:t>
      </w:r>
      <w:r w:rsidR="006706C9" w:rsidRPr="0052315A">
        <w:t>415 S.C. 182, 781 S.E.2d 534 (2015)</w:t>
      </w:r>
      <w:r w:rsidR="006706C9">
        <w:t>.</w:t>
      </w:r>
    </w:p>
    <w:p w14:paraId="35D5162B" w14:textId="6440C5CE" w:rsidR="00A9784F" w:rsidRDefault="006706C9" w:rsidP="00A9784F">
      <w:pPr>
        <w:spacing w:line="480" w:lineRule="auto"/>
        <w:ind w:right="720" w:firstLine="720"/>
      </w:pPr>
      <w:r>
        <w:t xml:space="preserve">The State’s own analysis of the Defendant’s blood alcohol concentration in this case was that the Defendant’s blood alcohol concentration was 0.04%. Under §56-5-2950(G)(1) and </w:t>
      </w:r>
      <w:r>
        <w:rPr>
          <w:u w:val="single"/>
        </w:rPr>
        <w:t>Stephens</w:t>
      </w:r>
      <w:r>
        <w:t xml:space="preserve">, the Defendant cannot be convicted of Driving Under the </w:t>
      </w:r>
      <w:r>
        <w:lastRenderedPageBreak/>
        <w:t>Influence, less than .10, 1</w:t>
      </w:r>
      <w:r w:rsidRPr="00ED06C6">
        <w:rPr>
          <w:vertAlign w:val="superscript"/>
        </w:rPr>
        <w:t>st</w:t>
      </w:r>
      <w:r>
        <w:t xml:space="preserve"> Offense for alcohol impairment. As such, the case must be dismissed.</w:t>
      </w:r>
    </w:p>
    <w:p w14:paraId="2C79E902" w14:textId="4821F0D6" w:rsidR="006706C9" w:rsidRDefault="006706C9" w:rsidP="006706C9">
      <w:pPr>
        <w:spacing w:line="480" w:lineRule="auto"/>
        <w:ind w:right="720"/>
        <w:jc w:val="center"/>
        <w:rPr>
          <w:b/>
          <w:u w:val="single"/>
        </w:rPr>
      </w:pPr>
      <w:r>
        <w:rPr>
          <w:b/>
        </w:rPr>
        <w:t>CONCLUSION</w:t>
      </w:r>
    </w:p>
    <w:p w14:paraId="7DDC7280" w14:textId="23F14B2D" w:rsidR="005F3A8B" w:rsidRDefault="006706C9" w:rsidP="00A9784F">
      <w:pPr>
        <w:spacing w:line="480" w:lineRule="auto"/>
        <w:ind w:right="720" w:firstLine="720"/>
      </w:pPr>
      <w:r>
        <w:t>Based on the above, the Defendant hereby moves that his charges for Driving Under the Influence, less than .10, 1</w:t>
      </w:r>
      <w:r w:rsidRPr="00ED06C6">
        <w:rPr>
          <w:vertAlign w:val="superscript"/>
        </w:rPr>
        <w:t>st</w:t>
      </w:r>
      <w:r>
        <w:t xml:space="preserve"> Offense be dismissed immediately. Additionally, the Defendant requests that if the Court is not inclined to dismiss the charges in this matter immediately, that the Court would hold a hearing on this matter at the Defendant’s next pre-trial hearing court appearance date in order to expedite the resolution of this matter.</w:t>
      </w:r>
    </w:p>
    <w:p w14:paraId="1A7E1FC8" w14:textId="21777CCB" w:rsidR="00D94062" w:rsidRDefault="00D94062" w:rsidP="00D94062">
      <w:pPr>
        <w:ind w:left="5760"/>
      </w:pPr>
      <w:r>
        <w:t xml:space="preserve">I SO </w:t>
      </w:r>
      <w:r w:rsidR="009614CC">
        <w:t>MOVE</w:t>
      </w:r>
      <w:r>
        <w:t>:</w:t>
      </w:r>
    </w:p>
    <w:p w14:paraId="7395FAAB" w14:textId="77777777" w:rsidR="00D94062" w:rsidRDefault="00D94062" w:rsidP="00D94062">
      <w:pPr>
        <w:ind w:left="5760"/>
      </w:pPr>
    </w:p>
    <w:p w14:paraId="32D31BBB" w14:textId="09CF15AD" w:rsidR="00D94062" w:rsidRDefault="00D94062" w:rsidP="00D94062">
      <w:pPr>
        <w:ind w:left="5760"/>
      </w:pPr>
    </w:p>
    <w:p w14:paraId="687F497D" w14:textId="77777777" w:rsidR="00D94062" w:rsidRDefault="00D94062" w:rsidP="00D94062">
      <w:pPr>
        <w:ind w:left="5760"/>
      </w:pPr>
    </w:p>
    <w:p w14:paraId="763330BA" w14:textId="77777777" w:rsidR="00D94062" w:rsidRDefault="00D94062" w:rsidP="00D94062">
      <w:pPr>
        <w:ind w:left="5760"/>
      </w:pPr>
    </w:p>
    <w:p w14:paraId="24E13420" w14:textId="77777777" w:rsidR="00D94062" w:rsidRDefault="00D94062" w:rsidP="00D94062">
      <w:pPr>
        <w:pBdr>
          <w:bottom w:val="single" w:sz="12" w:space="1" w:color="auto"/>
        </w:pBdr>
        <w:ind w:left="5760"/>
      </w:pPr>
    </w:p>
    <w:p w14:paraId="17BF4210" w14:textId="77777777" w:rsidR="00D93219" w:rsidRDefault="00D93219" w:rsidP="00D93219">
      <w:pPr>
        <w:ind w:left="5760"/>
      </w:pPr>
      <w:r w:rsidRPr="00E87955">
        <w:t>Judah VanSyckel</w:t>
      </w:r>
      <w:r>
        <w:t>, Esq.</w:t>
      </w:r>
    </w:p>
    <w:p w14:paraId="11E27B6D" w14:textId="79E7A434" w:rsidR="00D94062" w:rsidRDefault="00D94062" w:rsidP="00D94062">
      <w:pPr>
        <w:ind w:left="5760"/>
      </w:pPr>
      <w:r>
        <w:t>Defendant’s Attorney</w:t>
      </w:r>
    </w:p>
    <w:p w14:paraId="776B945F" w14:textId="02D0BFCC" w:rsidR="00D94062" w:rsidRDefault="00F51FCF" w:rsidP="00F51FCF">
      <w:pPr>
        <w:ind w:left="5760"/>
      </w:pPr>
      <w:r>
        <w:t>137</w:t>
      </w:r>
      <w:r w:rsidR="00D94062">
        <w:t xml:space="preserve"> E. Butler Street, Office 4</w:t>
      </w:r>
    </w:p>
    <w:p w14:paraId="7527FB51" w14:textId="0C2BF257" w:rsidR="00D94062" w:rsidRDefault="00D94062" w:rsidP="00D94062">
      <w:pPr>
        <w:ind w:left="5760"/>
      </w:pPr>
      <w:r>
        <w:t>Lexington, SC 29072</w:t>
      </w:r>
    </w:p>
    <w:p w14:paraId="72824F5F" w14:textId="0CFCACC7" w:rsidR="00D94062" w:rsidRDefault="00D94062" w:rsidP="00D94062">
      <w:pPr>
        <w:ind w:left="5760"/>
      </w:pPr>
      <w:r>
        <w:t>803-939-6927</w:t>
      </w:r>
    </w:p>
    <w:p w14:paraId="469368D5" w14:textId="77777777" w:rsidR="00D94062" w:rsidRPr="00685E32" w:rsidRDefault="00D94062" w:rsidP="00D94062">
      <w:pPr>
        <w:ind w:left="5760"/>
      </w:pPr>
    </w:p>
    <w:sectPr w:rsidR="00D94062" w:rsidRPr="00685E3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546D" w14:textId="77777777" w:rsidR="00F64B44" w:rsidRDefault="00F64B44" w:rsidP="006F35A9">
      <w:r>
        <w:separator/>
      </w:r>
    </w:p>
  </w:endnote>
  <w:endnote w:type="continuationSeparator" w:id="0">
    <w:p w14:paraId="17E9AEED" w14:textId="77777777" w:rsidR="00F64B44" w:rsidRDefault="00F64B44" w:rsidP="006F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0AAE" w14:textId="77777777" w:rsidR="004D7570" w:rsidRDefault="004D7570" w:rsidP="006416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6FCF36" w14:textId="77777777" w:rsidR="004D7570" w:rsidRDefault="004D7570" w:rsidP="004D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9423" w14:textId="77777777" w:rsidR="004D7570" w:rsidRDefault="004D7570" w:rsidP="006416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1FCF">
      <w:rPr>
        <w:rStyle w:val="PageNumber"/>
        <w:noProof/>
      </w:rPr>
      <w:t>4</w:t>
    </w:r>
    <w:r>
      <w:rPr>
        <w:rStyle w:val="PageNumber"/>
      </w:rPr>
      <w:fldChar w:fldCharType="end"/>
    </w:r>
  </w:p>
  <w:p w14:paraId="111D435A" w14:textId="77777777" w:rsidR="004D7570" w:rsidRDefault="004D7570" w:rsidP="004D75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9ED2" w14:textId="77777777" w:rsidR="00F64B44" w:rsidRDefault="00F64B44" w:rsidP="006F35A9">
      <w:r>
        <w:separator/>
      </w:r>
    </w:p>
  </w:footnote>
  <w:footnote w:type="continuationSeparator" w:id="0">
    <w:p w14:paraId="41AA765C" w14:textId="77777777" w:rsidR="00F64B44" w:rsidRDefault="00F64B44" w:rsidP="006F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15EA"/>
    <w:multiLevelType w:val="hybridMultilevel"/>
    <w:tmpl w:val="12105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6793A"/>
    <w:multiLevelType w:val="hybridMultilevel"/>
    <w:tmpl w:val="5C1CF160"/>
    <w:lvl w:ilvl="0" w:tplc="747E94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26DCD"/>
    <w:multiLevelType w:val="hybridMultilevel"/>
    <w:tmpl w:val="489CEF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F40F28"/>
    <w:multiLevelType w:val="hybridMultilevel"/>
    <w:tmpl w:val="024C5E32"/>
    <w:lvl w:ilvl="0" w:tplc="C924031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D53153E"/>
    <w:multiLevelType w:val="hybridMultilevel"/>
    <w:tmpl w:val="6C6C05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949323">
    <w:abstractNumId w:val="4"/>
  </w:num>
  <w:num w:numId="2" w16cid:durableId="588390961">
    <w:abstractNumId w:val="3"/>
  </w:num>
  <w:num w:numId="3" w16cid:durableId="1823814197">
    <w:abstractNumId w:val="2"/>
  </w:num>
  <w:num w:numId="4" w16cid:durableId="1489512065">
    <w:abstractNumId w:val="0"/>
  </w:num>
  <w:num w:numId="5" w16cid:durableId="301735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4A8"/>
    <w:rsid w:val="000268B8"/>
    <w:rsid w:val="00040A7F"/>
    <w:rsid w:val="0005010D"/>
    <w:rsid w:val="000C0308"/>
    <w:rsid w:val="000C6743"/>
    <w:rsid w:val="000D38FC"/>
    <w:rsid w:val="000D7CA0"/>
    <w:rsid w:val="00142B3E"/>
    <w:rsid w:val="001843C0"/>
    <w:rsid w:val="0018511E"/>
    <w:rsid w:val="001A58A9"/>
    <w:rsid w:val="001B4018"/>
    <w:rsid w:val="002204A6"/>
    <w:rsid w:val="0022055B"/>
    <w:rsid w:val="002514D4"/>
    <w:rsid w:val="00260EA7"/>
    <w:rsid w:val="002B7EEB"/>
    <w:rsid w:val="002C2881"/>
    <w:rsid w:val="002C5B36"/>
    <w:rsid w:val="002E692B"/>
    <w:rsid w:val="0032684B"/>
    <w:rsid w:val="00341673"/>
    <w:rsid w:val="003427FB"/>
    <w:rsid w:val="003A0748"/>
    <w:rsid w:val="003F1541"/>
    <w:rsid w:val="00452BA0"/>
    <w:rsid w:val="00494B7A"/>
    <w:rsid w:val="004C2339"/>
    <w:rsid w:val="004D7570"/>
    <w:rsid w:val="0052315A"/>
    <w:rsid w:val="005329F6"/>
    <w:rsid w:val="005D5FA5"/>
    <w:rsid w:val="005F3A8B"/>
    <w:rsid w:val="00603324"/>
    <w:rsid w:val="006414A8"/>
    <w:rsid w:val="00665C95"/>
    <w:rsid w:val="006706C9"/>
    <w:rsid w:val="00685E32"/>
    <w:rsid w:val="006F35A9"/>
    <w:rsid w:val="00706A9C"/>
    <w:rsid w:val="0073519F"/>
    <w:rsid w:val="00736D4A"/>
    <w:rsid w:val="00745E72"/>
    <w:rsid w:val="007464FC"/>
    <w:rsid w:val="00795102"/>
    <w:rsid w:val="0080516F"/>
    <w:rsid w:val="008234F9"/>
    <w:rsid w:val="00853E9E"/>
    <w:rsid w:val="008555AB"/>
    <w:rsid w:val="00886BC0"/>
    <w:rsid w:val="00887519"/>
    <w:rsid w:val="008A4B46"/>
    <w:rsid w:val="008E3596"/>
    <w:rsid w:val="008F0A3F"/>
    <w:rsid w:val="008F21E6"/>
    <w:rsid w:val="009073B4"/>
    <w:rsid w:val="009614CC"/>
    <w:rsid w:val="00991BBF"/>
    <w:rsid w:val="009B29C6"/>
    <w:rsid w:val="009C25C0"/>
    <w:rsid w:val="00A04337"/>
    <w:rsid w:val="00A220A1"/>
    <w:rsid w:val="00A245B1"/>
    <w:rsid w:val="00A418B9"/>
    <w:rsid w:val="00A617C0"/>
    <w:rsid w:val="00A9784F"/>
    <w:rsid w:val="00AC37D7"/>
    <w:rsid w:val="00AE00F5"/>
    <w:rsid w:val="00AE6B82"/>
    <w:rsid w:val="00B21C1A"/>
    <w:rsid w:val="00B3655F"/>
    <w:rsid w:val="00B427B6"/>
    <w:rsid w:val="00B51914"/>
    <w:rsid w:val="00B51FAE"/>
    <w:rsid w:val="00B55F87"/>
    <w:rsid w:val="00C0395C"/>
    <w:rsid w:val="00C13C9B"/>
    <w:rsid w:val="00C54A93"/>
    <w:rsid w:val="00C76641"/>
    <w:rsid w:val="00C80A89"/>
    <w:rsid w:val="00C8767B"/>
    <w:rsid w:val="00CB5372"/>
    <w:rsid w:val="00CE4CA5"/>
    <w:rsid w:val="00D02BDC"/>
    <w:rsid w:val="00D04847"/>
    <w:rsid w:val="00D53463"/>
    <w:rsid w:val="00D64046"/>
    <w:rsid w:val="00D71955"/>
    <w:rsid w:val="00D93219"/>
    <w:rsid w:val="00D94062"/>
    <w:rsid w:val="00DC13AA"/>
    <w:rsid w:val="00DC148A"/>
    <w:rsid w:val="00DE2A26"/>
    <w:rsid w:val="00DE5FCF"/>
    <w:rsid w:val="00DE7464"/>
    <w:rsid w:val="00E207E8"/>
    <w:rsid w:val="00E41A4F"/>
    <w:rsid w:val="00E55748"/>
    <w:rsid w:val="00E637FA"/>
    <w:rsid w:val="00E6719B"/>
    <w:rsid w:val="00E92922"/>
    <w:rsid w:val="00E9416C"/>
    <w:rsid w:val="00EA637E"/>
    <w:rsid w:val="00ED06C6"/>
    <w:rsid w:val="00F23296"/>
    <w:rsid w:val="00F326AD"/>
    <w:rsid w:val="00F51FCF"/>
    <w:rsid w:val="00F64B44"/>
    <w:rsid w:val="00FA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3536"/>
  <w15:chartTrackingRefBased/>
  <w15:docId w15:val="{9E68838F-5770-40F7-A153-1DB8BE4F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3A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16F"/>
    <w:pPr>
      <w:ind w:left="720"/>
      <w:contextualSpacing/>
    </w:pPr>
  </w:style>
  <w:style w:type="paragraph" w:styleId="FootnoteText">
    <w:name w:val="footnote text"/>
    <w:basedOn w:val="Normal"/>
    <w:link w:val="FootnoteTextChar"/>
    <w:uiPriority w:val="99"/>
    <w:unhideWhenUsed/>
    <w:rsid w:val="006F35A9"/>
  </w:style>
  <w:style w:type="character" w:customStyle="1" w:styleId="FootnoteTextChar">
    <w:name w:val="Footnote Text Char"/>
    <w:basedOn w:val="DefaultParagraphFont"/>
    <w:link w:val="FootnoteText"/>
    <w:uiPriority w:val="99"/>
    <w:rsid w:val="006F35A9"/>
    <w:rPr>
      <w:rFonts w:ascii="Times New Roman" w:hAnsi="Times New Roman" w:cs="Times New Roman"/>
      <w:sz w:val="24"/>
      <w:szCs w:val="24"/>
    </w:rPr>
  </w:style>
  <w:style w:type="character" w:styleId="FootnoteReference">
    <w:name w:val="footnote reference"/>
    <w:basedOn w:val="DefaultParagraphFont"/>
    <w:uiPriority w:val="99"/>
    <w:unhideWhenUsed/>
    <w:rsid w:val="006F35A9"/>
    <w:rPr>
      <w:vertAlign w:val="superscript"/>
    </w:rPr>
  </w:style>
  <w:style w:type="paragraph" w:styleId="NormalWeb">
    <w:name w:val="Normal (Web)"/>
    <w:basedOn w:val="Normal"/>
    <w:uiPriority w:val="99"/>
    <w:semiHidden/>
    <w:unhideWhenUsed/>
    <w:rsid w:val="00D94062"/>
  </w:style>
  <w:style w:type="paragraph" w:styleId="Footer">
    <w:name w:val="footer"/>
    <w:basedOn w:val="Normal"/>
    <w:link w:val="FooterChar"/>
    <w:uiPriority w:val="99"/>
    <w:unhideWhenUsed/>
    <w:rsid w:val="004D7570"/>
    <w:pPr>
      <w:tabs>
        <w:tab w:val="center" w:pos="4680"/>
        <w:tab w:val="right" w:pos="9360"/>
      </w:tabs>
    </w:pPr>
  </w:style>
  <w:style w:type="character" w:customStyle="1" w:styleId="FooterChar">
    <w:name w:val="Footer Char"/>
    <w:basedOn w:val="DefaultParagraphFont"/>
    <w:link w:val="Footer"/>
    <w:uiPriority w:val="99"/>
    <w:rsid w:val="004D7570"/>
    <w:rPr>
      <w:rFonts w:ascii="Times New Roman" w:hAnsi="Times New Roman" w:cs="Times New Roman"/>
      <w:sz w:val="24"/>
      <w:szCs w:val="24"/>
    </w:rPr>
  </w:style>
  <w:style w:type="character" w:styleId="PageNumber">
    <w:name w:val="page number"/>
    <w:basedOn w:val="DefaultParagraphFont"/>
    <w:uiPriority w:val="99"/>
    <w:semiHidden/>
    <w:unhideWhenUsed/>
    <w:rsid w:val="004D7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198">
      <w:bodyDiv w:val="1"/>
      <w:marLeft w:val="0"/>
      <w:marRight w:val="0"/>
      <w:marTop w:val="0"/>
      <w:marBottom w:val="0"/>
      <w:divBdr>
        <w:top w:val="none" w:sz="0" w:space="0" w:color="auto"/>
        <w:left w:val="none" w:sz="0" w:space="0" w:color="auto"/>
        <w:bottom w:val="none" w:sz="0" w:space="0" w:color="auto"/>
        <w:right w:val="none" w:sz="0" w:space="0" w:color="auto"/>
      </w:divBdr>
    </w:div>
    <w:div w:id="34936646">
      <w:bodyDiv w:val="1"/>
      <w:marLeft w:val="0"/>
      <w:marRight w:val="0"/>
      <w:marTop w:val="0"/>
      <w:marBottom w:val="0"/>
      <w:divBdr>
        <w:top w:val="none" w:sz="0" w:space="0" w:color="auto"/>
        <w:left w:val="none" w:sz="0" w:space="0" w:color="auto"/>
        <w:bottom w:val="none" w:sz="0" w:space="0" w:color="auto"/>
        <w:right w:val="none" w:sz="0" w:space="0" w:color="auto"/>
      </w:divBdr>
    </w:div>
    <w:div w:id="45566674">
      <w:bodyDiv w:val="1"/>
      <w:marLeft w:val="0"/>
      <w:marRight w:val="0"/>
      <w:marTop w:val="0"/>
      <w:marBottom w:val="0"/>
      <w:divBdr>
        <w:top w:val="none" w:sz="0" w:space="0" w:color="auto"/>
        <w:left w:val="none" w:sz="0" w:space="0" w:color="auto"/>
        <w:bottom w:val="none" w:sz="0" w:space="0" w:color="auto"/>
        <w:right w:val="none" w:sz="0" w:space="0" w:color="auto"/>
      </w:divBdr>
    </w:div>
    <w:div w:id="45642074">
      <w:bodyDiv w:val="1"/>
      <w:marLeft w:val="0"/>
      <w:marRight w:val="0"/>
      <w:marTop w:val="0"/>
      <w:marBottom w:val="0"/>
      <w:divBdr>
        <w:top w:val="none" w:sz="0" w:space="0" w:color="auto"/>
        <w:left w:val="none" w:sz="0" w:space="0" w:color="auto"/>
        <w:bottom w:val="none" w:sz="0" w:space="0" w:color="auto"/>
        <w:right w:val="none" w:sz="0" w:space="0" w:color="auto"/>
      </w:divBdr>
    </w:div>
    <w:div w:id="94984860">
      <w:bodyDiv w:val="1"/>
      <w:marLeft w:val="0"/>
      <w:marRight w:val="0"/>
      <w:marTop w:val="0"/>
      <w:marBottom w:val="0"/>
      <w:divBdr>
        <w:top w:val="none" w:sz="0" w:space="0" w:color="auto"/>
        <w:left w:val="none" w:sz="0" w:space="0" w:color="auto"/>
        <w:bottom w:val="none" w:sz="0" w:space="0" w:color="auto"/>
        <w:right w:val="none" w:sz="0" w:space="0" w:color="auto"/>
      </w:divBdr>
    </w:div>
    <w:div w:id="139034071">
      <w:bodyDiv w:val="1"/>
      <w:marLeft w:val="0"/>
      <w:marRight w:val="0"/>
      <w:marTop w:val="0"/>
      <w:marBottom w:val="0"/>
      <w:divBdr>
        <w:top w:val="none" w:sz="0" w:space="0" w:color="auto"/>
        <w:left w:val="none" w:sz="0" w:space="0" w:color="auto"/>
        <w:bottom w:val="none" w:sz="0" w:space="0" w:color="auto"/>
        <w:right w:val="none" w:sz="0" w:space="0" w:color="auto"/>
      </w:divBdr>
    </w:div>
    <w:div w:id="367993622">
      <w:bodyDiv w:val="1"/>
      <w:marLeft w:val="0"/>
      <w:marRight w:val="0"/>
      <w:marTop w:val="0"/>
      <w:marBottom w:val="0"/>
      <w:divBdr>
        <w:top w:val="none" w:sz="0" w:space="0" w:color="auto"/>
        <w:left w:val="none" w:sz="0" w:space="0" w:color="auto"/>
        <w:bottom w:val="none" w:sz="0" w:space="0" w:color="auto"/>
        <w:right w:val="none" w:sz="0" w:space="0" w:color="auto"/>
      </w:divBdr>
    </w:div>
    <w:div w:id="388110263">
      <w:bodyDiv w:val="1"/>
      <w:marLeft w:val="0"/>
      <w:marRight w:val="0"/>
      <w:marTop w:val="0"/>
      <w:marBottom w:val="0"/>
      <w:divBdr>
        <w:top w:val="none" w:sz="0" w:space="0" w:color="auto"/>
        <w:left w:val="none" w:sz="0" w:space="0" w:color="auto"/>
        <w:bottom w:val="none" w:sz="0" w:space="0" w:color="auto"/>
        <w:right w:val="none" w:sz="0" w:space="0" w:color="auto"/>
      </w:divBdr>
    </w:div>
    <w:div w:id="449402822">
      <w:bodyDiv w:val="1"/>
      <w:marLeft w:val="0"/>
      <w:marRight w:val="0"/>
      <w:marTop w:val="0"/>
      <w:marBottom w:val="0"/>
      <w:divBdr>
        <w:top w:val="none" w:sz="0" w:space="0" w:color="auto"/>
        <w:left w:val="none" w:sz="0" w:space="0" w:color="auto"/>
        <w:bottom w:val="none" w:sz="0" w:space="0" w:color="auto"/>
        <w:right w:val="none" w:sz="0" w:space="0" w:color="auto"/>
      </w:divBdr>
    </w:div>
    <w:div w:id="495652477">
      <w:bodyDiv w:val="1"/>
      <w:marLeft w:val="0"/>
      <w:marRight w:val="0"/>
      <w:marTop w:val="0"/>
      <w:marBottom w:val="0"/>
      <w:divBdr>
        <w:top w:val="none" w:sz="0" w:space="0" w:color="auto"/>
        <w:left w:val="none" w:sz="0" w:space="0" w:color="auto"/>
        <w:bottom w:val="none" w:sz="0" w:space="0" w:color="auto"/>
        <w:right w:val="none" w:sz="0" w:space="0" w:color="auto"/>
      </w:divBdr>
    </w:div>
    <w:div w:id="532351171">
      <w:bodyDiv w:val="1"/>
      <w:marLeft w:val="0"/>
      <w:marRight w:val="0"/>
      <w:marTop w:val="0"/>
      <w:marBottom w:val="0"/>
      <w:divBdr>
        <w:top w:val="none" w:sz="0" w:space="0" w:color="auto"/>
        <w:left w:val="none" w:sz="0" w:space="0" w:color="auto"/>
        <w:bottom w:val="none" w:sz="0" w:space="0" w:color="auto"/>
        <w:right w:val="none" w:sz="0" w:space="0" w:color="auto"/>
      </w:divBdr>
    </w:div>
    <w:div w:id="553541002">
      <w:bodyDiv w:val="1"/>
      <w:marLeft w:val="0"/>
      <w:marRight w:val="0"/>
      <w:marTop w:val="0"/>
      <w:marBottom w:val="0"/>
      <w:divBdr>
        <w:top w:val="none" w:sz="0" w:space="0" w:color="auto"/>
        <w:left w:val="none" w:sz="0" w:space="0" w:color="auto"/>
        <w:bottom w:val="none" w:sz="0" w:space="0" w:color="auto"/>
        <w:right w:val="none" w:sz="0" w:space="0" w:color="auto"/>
      </w:divBdr>
    </w:div>
    <w:div w:id="616720182">
      <w:bodyDiv w:val="1"/>
      <w:marLeft w:val="0"/>
      <w:marRight w:val="0"/>
      <w:marTop w:val="0"/>
      <w:marBottom w:val="0"/>
      <w:divBdr>
        <w:top w:val="none" w:sz="0" w:space="0" w:color="auto"/>
        <w:left w:val="none" w:sz="0" w:space="0" w:color="auto"/>
        <w:bottom w:val="none" w:sz="0" w:space="0" w:color="auto"/>
        <w:right w:val="none" w:sz="0" w:space="0" w:color="auto"/>
      </w:divBdr>
    </w:div>
    <w:div w:id="624771593">
      <w:bodyDiv w:val="1"/>
      <w:marLeft w:val="0"/>
      <w:marRight w:val="0"/>
      <w:marTop w:val="0"/>
      <w:marBottom w:val="0"/>
      <w:divBdr>
        <w:top w:val="none" w:sz="0" w:space="0" w:color="auto"/>
        <w:left w:val="none" w:sz="0" w:space="0" w:color="auto"/>
        <w:bottom w:val="none" w:sz="0" w:space="0" w:color="auto"/>
        <w:right w:val="none" w:sz="0" w:space="0" w:color="auto"/>
      </w:divBdr>
    </w:div>
    <w:div w:id="676152697">
      <w:bodyDiv w:val="1"/>
      <w:marLeft w:val="0"/>
      <w:marRight w:val="0"/>
      <w:marTop w:val="0"/>
      <w:marBottom w:val="0"/>
      <w:divBdr>
        <w:top w:val="none" w:sz="0" w:space="0" w:color="auto"/>
        <w:left w:val="none" w:sz="0" w:space="0" w:color="auto"/>
        <w:bottom w:val="none" w:sz="0" w:space="0" w:color="auto"/>
        <w:right w:val="none" w:sz="0" w:space="0" w:color="auto"/>
      </w:divBdr>
    </w:div>
    <w:div w:id="699429465">
      <w:bodyDiv w:val="1"/>
      <w:marLeft w:val="0"/>
      <w:marRight w:val="0"/>
      <w:marTop w:val="0"/>
      <w:marBottom w:val="0"/>
      <w:divBdr>
        <w:top w:val="none" w:sz="0" w:space="0" w:color="auto"/>
        <w:left w:val="none" w:sz="0" w:space="0" w:color="auto"/>
        <w:bottom w:val="none" w:sz="0" w:space="0" w:color="auto"/>
        <w:right w:val="none" w:sz="0" w:space="0" w:color="auto"/>
      </w:divBdr>
    </w:div>
    <w:div w:id="739328957">
      <w:bodyDiv w:val="1"/>
      <w:marLeft w:val="0"/>
      <w:marRight w:val="0"/>
      <w:marTop w:val="0"/>
      <w:marBottom w:val="0"/>
      <w:divBdr>
        <w:top w:val="none" w:sz="0" w:space="0" w:color="auto"/>
        <w:left w:val="none" w:sz="0" w:space="0" w:color="auto"/>
        <w:bottom w:val="none" w:sz="0" w:space="0" w:color="auto"/>
        <w:right w:val="none" w:sz="0" w:space="0" w:color="auto"/>
      </w:divBdr>
    </w:div>
    <w:div w:id="766078031">
      <w:bodyDiv w:val="1"/>
      <w:marLeft w:val="0"/>
      <w:marRight w:val="0"/>
      <w:marTop w:val="0"/>
      <w:marBottom w:val="0"/>
      <w:divBdr>
        <w:top w:val="none" w:sz="0" w:space="0" w:color="auto"/>
        <w:left w:val="none" w:sz="0" w:space="0" w:color="auto"/>
        <w:bottom w:val="none" w:sz="0" w:space="0" w:color="auto"/>
        <w:right w:val="none" w:sz="0" w:space="0" w:color="auto"/>
      </w:divBdr>
    </w:div>
    <w:div w:id="831025639">
      <w:bodyDiv w:val="1"/>
      <w:marLeft w:val="0"/>
      <w:marRight w:val="0"/>
      <w:marTop w:val="0"/>
      <w:marBottom w:val="0"/>
      <w:divBdr>
        <w:top w:val="none" w:sz="0" w:space="0" w:color="auto"/>
        <w:left w:val="none" w:sz="0" w:space="0" w:color="auto"/>
        <w:bottom w:val="none" w:sz="0" w:space="0" w:color="auto"/>
        <w:right w:val="none" w:sz="0" w:space="0" w:color="auto"/>
      </w:divBdr>
    </w:div>
    <w:div w:id="902910846">
      <w:bodyDiv w:val="1"/>
      <w:marLeft w:val="0"/>
      <w:marRight w:val="0"/>
      <w:marTop w:val="0"/>
      <w:marBottom w:val="0"/>
      <w:divBdr>
        <w:top w:val="none" w:sz="0" w:space="0" w:color="auto"/>
        <w:left w:val="none" w:sz="0" w:space="0" w:color="auto"/>
        <w:bottom w:val="none" w:sz="0" w:space="0" w:color="auto"/>
        <w:right w:val="none" w:sz="0" w:space="0" w:color="auto"/>
      </w:divBdr>
    </w:div>
    <w:div w:id="958730797">
      <w:bodyDiv w:val="1"/>
      <w:marLeft w:val="0"/>
      <w:marRight w:val="0"/>
      <w:marTop w:val="0"/>
      <w:marBottom w:val="0"/>
      <w:divBdr>
        <w:top w:val="none" w:sz="0" w:space="0" w:color="auto"/>
        <w:left w:val="none" w:sz="0" w:space="0" w:color="auto"/>
        <w:bottom w:val="none" w:sz="0" w:space="0" w:color="auto"/>
        <w:right w:val="none" w:sz="0" w:space="0" w:color="auto"/>
      </w:divBdr>
    </w:div>
    <w:div w:id="994795598">
      <w:bodyDiv w:val="1"/>
      <w:marLeft w:val="0"/>
      <w:marRight w:val="0"/>
      <w:marTop w:val="0"/>
      <w:marBottom w:val="0"/>
      <w:divBdr>
        <w:top w:val="none" w:sz="0" w:space="0" w:color="auto"/>
        <w:left w:val="none" w:sz="0" w:space="0" w:color="auto"/>
        <w:bottom w:val="none" w:sz="0" w:space="0" w:color="auto"/>
        <w:right w:val="none" w:sz="0" w:space="0" w:color="auto"/>
      </w:divBdr>
    </w:div>
    <w:div w:id="1015232891">
      <w:bodyDiv w:val="1"/>
      <w:marLeft w:val="0"/>
      <w:marRight w:val="0"/>
      <w:marTop w:val="0"/>
      <w:marBottom w:val="0"/>
      <w:divBdr>
        <w:top w:val="none" w:sz="0" w:space="0" w:color="auto"/>
        <w:left w:val="none" w:sz="0" w:space="0" w:color="auto"/>
        <w:bottom w:val="none" w:sz="0" w:space="0" w:color="auto"/>
        <w:right w:val="none" w:sz="0" w:space="0" w:color="auto"/>
      </w:divBdr>
    </w:div>
    <w:div w:id="1144933359">
      <w:bodyDiv w:val="1"/>
      <w:marLeft w:val="0"/>
      <w:marRight w:val="0"/>
      <w:marTop w:val="0"/>
      <w:marBottom w:val="0"/>
      <w:divBdr>
        <w:top w:val="none" w:sz="0" w:space="0" w:color="auto"/>
        <w:left w:val="none" w:sz="0" w:space="0" w:color="auto"/>
        <w:bottom w:val="none" w:sz="0" w:space="0" w:color="auto"/>
        <w:right w:val="none" w:sz="0" w:space="0" w:color="auto"/>
      </w:divBdr>
    </w:div>
    <w:div w:id="1184855643">
      <w:bodyDiv w:val="1"/>
      <w:marLeft w:val="0"/>
      <w:marRight w:val="0"/>
      <w:marTop w:val="0"/>
      <w:marBottom w:val="0"/>
      <w:divBdr>
        <w:top w:val="none" w:sz="0" w:space="0" w:color="auto"/>
        <w:left w:val="none" w:sz="0" w:space="0" w:color="auto"/>
        <w:bottom w:val="none" w:sz="0" w:space="0" w:color="auto"/>
        <w:right w:val="none" w:sz="0" w:space="0" w:color="auto"/>
      </w:divBdr>
    </w:div>
    <w:div w:id="1187207817">
      <w:bodyDiv w:val="1"/>
      <w:marLeft w:val="0"/>
      <w:marRight w:val="0"/>
      <w:marTop w:val="0"/>
      <w:marBottom w:val="0"/>
      <w:divBdr>
        <w:top w:val="none" w:sz="0" w:space="0" w:color="auto"/>
        <w:left w:val="none" w:sz="0" w:space="0" w:color="auto"/>
        <w:bottom w:val="none" w:sz="0" w:space="0" w:color="auto"/>
        <w:right w:val="none" w:sz="0" w:space="0" w:color="auto"/>
      </w:divBdr>
    </w:div>
    <w:div w:id="1219053574">
      <w:bodyDiv w:val="1"/>
      <w:marLeft w:val="0"/>
      <w:marRight w:val="0"/>
      <w:marTop w:val="0"/>
      <w:marBottom w:val="0"/>
      <w:divBdr>
        <w:top w:val="none" w:sz="0" w:space="0" w:color="auto"/>
        <w:left w:val="none" w:sz="0" w:space="0" w:color="auto"/>
        <w:bottom w:val="none" w:sz="0" w:space="0" w:color="auto"/>
        <w:right w:val="none" w:sz="0" w:space="0" w:color="auto"/>
      </w:divBdr>
    </w:div>
    <w:div w:id="1267617247">
      <w:bodyDiv w:val="1"/>
      <w:marLeft w:val="0"/>
      <w:marRight w:val="0"/>
      <w:marTop w:val="0"/>
      <w:marBottom w:val="0"/>
      <w:divBdr>
        <w:top w:val="none" w:sz="0" w:space="0" w:color="auto"/>
        <w:left w:val="none" w:sz="0" w:space="0" w:color="auto"/>
        <w:bottom w:val="none" w:sz="0" w:space="0" w:color="auto"/>
        <w:right w:val="none" w:sz="0" w:space="0" w:color="auto"/>
      </w:divBdr>
    </w:div>
    <w:div w:id="1293630286">
      <w:bodyDiv w:val="1"/>
      <w:marLeft w:val="0"/>
      <w:marRight w:val="0"/>
      <w:marTop w:val="0"/>
      <w:marBottom w:val="0"/>
      <w:divBdr>
        <w:top w:val="none" w:sz="0" w:space="0" w:color="auto"/>
        <w:left w:val="none" w:sz="0" w:space="0" w:color="auto"/>
        <w:bottom w:val="none" w:sz="0" w:space="0" w:color="auto"/>
        <w:right w:val="none" w:sz="0" w:space="0" w:color="auto"/>
      </w:divBdr>
      <w:divsChild>
        <w:div w:id="310139924">
          <w:marLeft w:val="480"/>
          <w:marRight w:val="0"/>
          <w:marTop w:val="0"/>
          <w:marBottom w:val="0"/>
          <w:divBdr>
            <w:top w:val="none" w:sz="0" w:space="0" w:color="auto"/>
            <w:left w:val="none" w:sz="0" w:space="0" w:color="auto"/>
            <w:bottom w:val="none" w:sz="0" w:space="0" w:color="auto"/>
            <w:right w:val="none" w:sz="0" w:space="0" w:color="auto"/>
          </w:divBdr>
        </w:div>
        <w:div w:id="220139835">
          <w:marLeft w:val="480"/>
          <w:marRight w:val="0"/>
          <w:marTop w:val="0"/>
          <w:marBottom w:val="0"/>
          <w:divBdr>
            <w:top w:val="none" w:sz="0" w:space="0" w:color="auto"/>
            <w:left w:val="none" w:sz="0" w:space="0" w:color="auto"/>
            <w:bottom w:val="none" w:sz="0" w:space="0" w:color="auto"/>
            <w:right w:val="none" w:sz="0" w:space="0" w:color="auto"/>
          </w:divBdr>
        </w:div>
        <w:div w:id="31418831">
          <w:marLeft w:val="480"/>
          <w:marRight w:val="0"/>
          <w:marTop w:val="0"/>
          <w:marBottom w:val="0"/>
          <w:divBdr>
            <w:top w:val="none" w:sz="0" w:space="0" w:color="auto"/>
            <w:left w:val="none" w:sz="0" w:space="0" w:color="auto"/>
            <w:bottom w:val="none" w:sz="0" w:space="0" w:color="auto"/>
            <w:right w:val="none" w:sz="0" w:space="0" w:color="auto"/>
          </w:divBdr>
        </w:div>
      </w:divsChild>
    </w:div>
    <w:div w:id="1343052241">
      <w:bodyDiv w:val="1"/>
      <w:marLeft w:val="0"/>
      <w:marRight w:val="0"/>
      <w:marTop w:val="0"/>
      <w:marBottom w:val="0"/>
      <w:divBdr>
        <w:top w:val="none" w:sz="0" w:space="0" w:color="auto"/>
        <w:left w:val="none" w:sz="0" w:space="0" w:color="auto"/>
        <w:bottom w:val="none" w:sz="0" w:space="0" w:color="auto"/>
        <w:right w:val="none" w:sz="0" w:space="0" w:color="auto"/>
      </w:divBdr>
    </w:div>
    <w:div w:id="1355575060">
      <w:bodyDiv w:val="1"/>
      <w:marLeft w:val="0"/>
      <w:marRight w:val="0"/>
      <w:marTop w:val="0"/>
      <w:marBottom w:val="0"/>
      <w:divBdr>
        <w:top w:val="none" w:sz="0" w:space="0" w:color="auto"/>
        <w:left w:val="none" w:sz="0" w:space="0" w:color="auto"/>
        <w:bottom w:val="none" w:sz="0" w:space="0" w:color="auto"/>
        <w:right w:val="none" w:sz="0" w:space="0" w:color="auto"/>
      </w:divBdr>
    </w:div>
    <w:div w:id="1391808865">
      <w:bodyDiv w:val="1"/>
      <w:marLeft w:val="0"/>
      <w:marRight w:val="0"/>
      <w:marTop w:val="0"/>
      <w:marBottom w:val="0"/>
      <w:divBdr>
        <w:top w:val="none" w:sz="0" w:space="0" w:color="auto"/>
        <w:left w:val="none" w:sz="0" w:space="0" w:color="auto"/>
        <w:bottom w:val="none" w:sz="0" w:space="0" w:color="auto"/>
        <w:right w:val="none" w:sz="0" w:space="0" w:color="auto"/>
      </w:divBdr>
    </w:div>
    <w:div w:id="1430156123">
      <w:bodyDiv w:val="1"/>
      <w:marLeft w:val="0"/>
      <w:marRight w:val="0"/>
      <w:marTop w:val="0"/>
      <w:marBottom w:val="0"/>
      <w:divBdr>
        <w:top w:val="none" w:sz="0" w:space="0" w:color="auto"/>
        <w:left w:val="none" w:sz="0" w:space="0" w:color="auto"/>
        <w:bottom w:val="none" w:sz="0" w:space="0" w:color="auto"/>
        <w:right w:val="none" w:sz="0" w:space="0" w:color="auto"/>
      </w:divBdr>
    </w:div>
    <w:div w:id="1522039587">
      <w:bodyDiv w:val="1"/>
      <w:marLeft w:val="0"/>
      <w:marRight w:val="0"/>
      <w:marTop w:val="0"/>
      <w:marBottom w:val="0"/>
      <w:divBdr>
        <w:top w:val="none" w:sz="0" w:space="0" w:color="auto"/>
        <w:left w:val="none" w:sz="0" w:space="0" w:color="auto"/>
        <w:bottom w:val="none" w:sz="0" w:space="0" w:color="auto"/>
        <w:right w:val="none" w:sz="0" w:space="0" w:color="auto"/>
      </w:divBdr>
    </w:div>
    <w:div w:id="1603029518">
      <w:bodyDiv w:val="1"/>
      <w:marLeft w:val="0"/>
      <w:marRight w:val="0"/>
      <w:marTop w:val="0"/>
      <w:marBottom w:val="0"/>
      <w:divBdr>
        <w:top w:val="none" w:sz="0" w:space="0" w:color="auto"/>
        <w:left w:val="none" w:sz="0" w:space="0" w:color="auto"/>
        <w:bottom w:val="none" w:sz="0" w:space="0" w:color="auto"/>
        <w:right w:val="none" w:sz="0" w:space="0" w:color="auto"/>
      </w:divBdr>
    </w:div>
    <w:div w:id="1628394203">
      <w:bodyDiv w:val="1"/>
      <w:marLeft w:val="0"/>
      <w:marRight w:val="0"/>
      <w:marTop w:val="0"/>
      <w:marBottom w:val="0"/>
      <w:divBdr>
        <w:top w:val="none" w:sz="0" w:space="0" w:color="auto"/>
        <w:left w:val="none" w:sz="0" w:space="0" w:color="auto"/>
        <w:bottom w:val="none" w:sz="0" w:space="0" w:color="auto"/>
        <w:right w:val="none" w:sz="0" w:space="0" w:color="auto"/>
      </w:divBdr>
    </w:div>
    <w:div w:id="1640957698">
      <w:bodyDiv w:val="1"/>
      <w:marLeft w:val="0"/>
      <w:marRight w:val="0"/>
      <w:marTop w:val="0"/>
      <w:marBottom w:val="0"/>
      <w:divBdr>
        <w:top w:val="none" w:sz="0" w:space="0" w:color="auto"/>
        <w:left w:val="none" w:sz="0" w:space="0" w:color="auto"/>
        <w:bottom w:val="none" w:sz="0" w:space="0" w:color="auto"/>
        <w:right w:val="none" w:sz="0" w:space="0" w:color="auto"/>
      </w:divBdr>
    </w:div>
    <w:div w:id="1698002006">
      <w:bodyDiv w:val="1"/>
      <w:marLeft w:val="0"/>
      <w:marRight w:val="0"/>
      <w:marTop w:val="0"/>
      <w:marBottom w:val="0"/>
      <w:divBdr>
        <w:top w:val="none" w:sz="0" w:space="0" w:color="auto"/>
        <w:left w:val="none" w:sz="0" w:space="0" w:color="auto"/>
        <w:bottom w:val="none" w:sz="0" w:space="0" w:color="auto"/>
        <w:right w:val="none" w:sz="0" w:space="0" w:color="auto"/>
      </w:divBdr>
    </w:div>
    <w:div w:id="1739401856">
      <w:bodyDiv w:val="1"/>
      <w:marLeft w:val="0"/>
      <w:marRight w:val="0"/>
      <w:marTop w:val="0"/>
      <w:marBottom w:val="0"/>
      <w:divBdr>
        <w:top w:val="none" w:sz="0" w:space="0" w:color="auto"/>
        <w:left w:val="none" w:sz="0" w:space="0" w:color="auto"/>
        <w:bottom w:val="none" w:sz="0" w:space="0" w:color="auto"/>
        <w:right w:val="none" w:sz="0" w:space="0" w:color="auto"/>
      </w:divBdr>
    </w:div>
    <w:div w:id="1818183408">
      <w:bodyDiv w:val="1"/>
      <w:marLeft w:val="0"/>
      <w:marRight w:val="0"/>
      <w:marTop w:val="0"/>
      <w:marBottom w:val="0"/>
      <w:divBdr>
        <w:top w:val="none" w:sz="0" w:space="0" w:color="auto"/>
        <w:left w:val="none" w:sz="0" w:space="0" w:color="auto"/>
        <w:bottom w:val="none" w:sz="0" w:space="0" w:color="auto"/>
        <w:right w:val="none" w:sz="0" w:space="0" w:color="auto"/>
      </w:divBdr>
    </w:div>
    <w:div w:id="1841113210">
      <w:bodyDiv w:val="1"/>
      <w:marLeft w:val="0"/>
      <w:marRight w:val="0"/>
      <w:marTop w:val="0"/>
      <w:marBottom w:val="0"/>
      <w:divBdr>
        <w:top w:val="none" w:sz="0" w:space="0" w:color="auto"/>
        <w:left w:val="none" w:sz="0" w:space="0" w:color="auto"/>
        <w:bottom w:val="none" w:sz="0" w:space="0" w:color="auto"/>
        <w:right w:val="none" w:sz="0" w:space="0" w:color="auto"/>
      </w:divBdr>
    </w:div>
    <w:div w:id="1842887798">
      <w:bodyDiv w:val="1"/>
      <w:marLeft w:val="0"/>
      <w:marRight w:val="0"/>
      <w:marTop w:val="0"/>
      <w:marBottom w:val="0"/>
      <w:divBdr>
        <w:top w:val="none" w:sz="0" w:space="0" w:color="auto"/>
        <w:left w:val="none" w:sz="0" w:space="0" w:color="auto"/>
        <w:bottom w:val="none" w:sz="0" w:space="0" w:color="auto"/>
        <w:right w:val="none" w:sz="0" w:space="0" w:color="auto"/>
      </w:divBdr>
    </w:div>
    <w:div w:id="1851332553">
      <w:bodyDiv w:val="1"/>
      <w:marLeft w:val="0"/>
      <w:marRight w:val="0"/>
      <w:marTop w:val="0"/>
      <w:marBottom w:val="0"/>
      <w:divBdr>
        <w:top w:val="none" w:sz="0" w:space="0" w:color="auto"/>
        <w:left w:val="none" w:sz="0" w:space="0" w:color="auto"/>
        <w:bottom w:val="none" w:sz="0" w:space="0" w:color="auto"/>
        <w:right w:val="none" w:sz="0" w:space="0" w:color="auto"/>
      </w:divBdr>
    </w:div>
    <w:div w:id="1866140304">
      <w:bodyDiv w:val="1"/>
      <w:marLeft w:val="0"/>
      <w:marRight w:val="0"/>
      <w:marTop w:val="0"/>
      <w:marBottom w:val="0"/>
      <w:divBdr>
        <w:top w:val="none" w:sz="0" w:space="0" w:color="auto"/>
        <w:left w:val="none" w:sz="0" w:space="0" w:color="auto"/>
        <w:bottom w:val="none" w:sz="0" w:space="0" w:color="auto"/>
        <w:right w:val="none" w:sz="0" w:space="0" w:color="auto"/>
      </w:divBdr>
    </w:div>
    <w:div w:id="1869684699">
      <w:bodyDiv w:val="1"/>
      <w:marLeft w:val="0"/>
      <w:marRight w:val="0"/>
      <w:marTop w:val="0"/>
      <w:marBottom w:val="0"/>
      <w:divBdr>
        <w:top w:val="none" w:sz="0" w:space="0" w:color="auto"/>
        <w:left w:val="none" w:sz="0" w:space="0" w:color="auto"/>
        <w:bottom w:val="none" w:sz="0" w:space="0" w:color="auto"/>
        <w:right w:val="none" w:sz="0" w:space="0" w:color="auto"/>
      </w:divBdr>
    </w:div>
    <w:div w:id="1899633799">
      <w:bodyDiv w:val="1"/>
      <w:marLeft w:val="0"/>
      <w:marRight w:val="0"/>
      <w:marTop w:val="0"/>
      <w:marBottom w:val="0"/>
      <w:divBdr>
        <w:top w:val="none" w:sz="0" w:space="0" w:color="auto"/>
        <w:left w:val="none" w:sz="0" w:space="0" w:color="auto"/>
        <w:bottom w:val="none" w:sz="0" w:space="0" w:color="auto"/>
        <w:right w:val="none" w:sz="0" w:space="0" w:color="auto"/>
      </w:divBdr>
    </w:div>
    <w:div w:id="1942519316">
      <w:bodyDiv w:val="1"/>
      <w:marLeft w:val="0"/>
      <w:marRight w:val="0"/>
      <w:marTop w:val="0"/>
      <w:marBottom w:val="0"/>
      <w:divBdr>
        <w:top w:val="none" w:sz="0" w:space="0" w:color="auto"/>
        <w:left w:val="none" w:sz="0" w:space="0" w:color="auto"/>
        <w:bottom w:val="none" w:sz="0" w:space="0" w:color="auto"/>
        <w:right w:val="none" w:sz="0" w:space="0" w:color="auto"/>
      </w:divBdr>
    </w:div>
    <w:div w:id="1961716401">
      <w:bodyDiv w:val="1"/>
      <w:marLeft w:val="0"/>
      <w:marRight w:val="0"/>
      <w:marTop w:val="0"/>
      <w:marBottom w:val="0"/>
      <w:divBdr>
        <w:top w:val="none" w:sz="0" w:space="0" w:color="auto"/>
        <w:left w:val="none" w:sz="0" w:space="0" w:color="auto"/>
        <w:bottom w:val="none" w:sz="0" w:space="0" w:color="auto"/>
        <w:right w:val="none" w:sz="0" w:space="0" w:color="auto"/>
      </w:divBdr>
    </w:div>
    <w:div w:id="1969971558">
      <w:bodyDiv w:val="1"/>
      <w:marLeft w:val="0"/>
      <w:marRight w:val="0"/>
      <w:marTop w:val="0"/>
      <w:marBottom w:val="0"/>
      <w:divBdr>
        <w:top w:val="none" w:sz="0" w:space="0" w:color="auto"/>
        <w:left w:val="none" w:sz="0" w:space="0" w:color="auto"/>
        <w:bottom w:val="none" w:sz="0" w:space="0" w:color="auto"/>
        <w:right w:val="none" w:sz="0" w:space="0" w:color="auto"/>
      </w:divBdr>
    </w:div>
    <w:div w:id="1972634941">
      <w:bodyDiv w:val="1"/>
      <w:marLeft w:val="0"/>
      <w:marRight w:val="0"/>
      <w:marTop w:val="0"/>
      <w:marBottom w:val="0"/>
      <w:divBdr>
        <w:top w:val="none" w:sz="0" w:space="0" w:color="auto"/>
        <w:left w:val="none" w:sz="0" w:space="0" w:color="auto"/>
        <w:bottom w:val="none" w:sz="0" w:space="0" w:color="auto"/>
        <w:right w:val="none" w:sz="0" w:space="0" w:color="auto"/>
      </w:divBdr>
    </w:div>
    <w:div w:id="1988624748">
      <w:bodyDiv w:val="1"/>
      <w:marLeft w:val="0"/>
      <w:marRight w:val="0"/>
      <w:marTop w:val="0"/>
      <w:marBottom w:val="0"/>
      <w:divBdr>
        <w:top w:val="none" w:sz="0" w:space="0" w:color="auto"/>
        <w:left w:val="none" w:sz="0" w:space="0" w:color="auto"/>
        <w:bottom w:val="none" w:sz="0" w:space="0" w:color="auto"/>
        <w:right w:val="none" w:sz="0" w:space="0" w:color="auto"/>
      </w:divBdr>
    </w:div>
    <w:div w:id="2021082228">
      <w:bodyDiv w:val="1"/>
      <w:marLeft w:val="0"/>
      <w:marRight w:val="0"/>
      <w:marTop w:val="0"/>
      <w:marBottom w:val="0"/>
      <w:divBdr>
        <w:top w:val="none" w:sz="0" w:space="0" w:color="auto"/>
        <w:left w:val="none" w:sz="0" w:space="0" w:color="auto"/>
        <w:bottom w:val="none" w:sz="0" w:space="0" w:color="auto"/>
        <w:right w:val="none" w:sz="0" w:space="0" w:color="auto"/>
      </w:divBdr>
    </w:div>
    <w:div w:id="212437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682715-0D1E-FC44-A049-8BA360E0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Judah VanSyckel</dc:creator>
  <cp:keywords/>
  <dc:description/>
  <cp:lastModifiedBy>Judah VanSyckel</cp:lastModifiedBy>
  <cp:revision>3</cp:revision>
  <dcterms:created xsi:type="dcterms:W3CDTF">2025-05-29T15:40:00Z</dcterms:created>
  <dcterms:modified xsi:type="dcterms:W3CDTF">2025-05-29T15:41:00Z</dcterms:modified>
</cp:coreProperties>
</file>