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A91C1C" w14:textId="5C75678A" w:rsidR="00426625" w:rsidRDefault="00426625" w:rsidP="00426625">
      <w:pPr>
        <w:rPr>
          <w:b/>
          <w:sz w:val="22"/>
        </w:rPr>
      </w:pPr>
      <w:r>
        <w:rPr>
          <w:b/>
          <w:sz w:val="22"/>
        </w:rPr>
        <w:t>STATE OF SOUTH CAROLINA</w:t>
      </w:r>
      <w:r>
        <w:rPr>
          <w:b/>
          <w:sz w:val="22"/>
        </w:rPr>
        <w:tab/>
      </w:r>
      <w:r>
        <w:rPr>
          <w:b/>
          <w:sz w:val="22"/>
        </w:rPr>
        <w:tab/>
        <w:t>)</w:t>
      </w:r>
      <w:r>
        <w:rPr>
          <w:b/>
          <w:sz w:val="22"/>
        </w:rPr>
        <w:tab/>
        <w:t>IN THE COURT OF GENERAL SESSIONS</w:t>
      </w:r>
    </w:p>
    <w:p w14:paraId="64A825E0" w14:textId="1F11FD2A" w:rsidR="00426625" w:rsidRDefault="00426625" w:rsidP="00426625">
      <w:pPr>
        <w:rPr>
          <w:b/>
          <w:sz w:val="22"/>
        </w:rPr>
      </w:pPr>
      <w:r>
        <w:rPr>
          <w:b/>
          <w:sz w:val="22"/>
        </w:rPr>
        <w:tab/>
      </w:r>
      <w:r>
        <w:rPr>
          <w:b/>
          <w:sz w:val="22"/>
        </w:rPr>
        <w:tab/>
      </w:r>
      <w:r>
        <w:rPr>
          <w:b/>
          <w:sz w:val="22"/>
        </w:rPr>
        <w:tab/>
      </w:r>
      <w:r>
        <w:rPr>
          <w:b/>
          <w:sz w:val="22"/>
        </w:rPr>
        <w:tab/>
      </w:r>
      <w:r>
        <w:rPr>
          <w:b/>
          <w:sz w:val="22"/>
        </w:rPr>
        <w:tab/>
        <w:t>)</w:t>
      </w:r>
      <w:r>
        <w:rPr>
          <w:b/>
          <w:sz w:val="22"/>
        </w:rPr>
        <w:tab/>
        <w:t xml:space="preserve">FOR THE </w:t>
      </w:r>
      <w:r w:rsidR="00DC2648">
        <w:rPr>
          <w:b/>
          <w:sz w:val="22"/>
        </w:rPr>
        <w:t>F</w:t>
      </w:r>
      <w:r w:rsidR="00A031D3">
        <w:rPr>
          <w:b/>
          <w:sz w:val="22"/>
        </w:rPr>
        <w:t>OURTEENTH</w:t>
      </w:r>
      <w:r>
        <w:rPr>
          <w:b/>
          <w:sz w:val="22"/>
        </w:rPr>
        <w:t xml:space="preserve"> JUDICIAL CIRCUIT</w:t>
      </w:r>
    </w:p>
    <w:p w14:paraId="21C1FC10" w14:textId="1C3FF6C7" w:rsidR="00426625" w:rsidRDefault="00426625" w:rsidP="00426625">
      <w:pPr>
        <w:rPr>
          <w:b/>
          <w:sz w:val="22"/>
        </w:rPr>
      </w:pPr>
      <w:r>
        <w:rPr>
          <w:b/>
          <w:sz w:val="22"/>
        </w:rPr>
        <w:t xml:space="preserve">COUNTY OF </w:t>
      </w:r>
      <w:r w:rsidR="002335D7">
        <w:rPr>
          <w:b/>
          <w:sz w:val="22"/>
        </w:rPr>
        <w:t>BEAUFORT</w:t>
      </w:r>
      <w:r>
        <w:rPr>
          <w:b/>
          <w:sz w:val="22"/>
        </w:rPr>
        <w:tab/>
      </w:r>
      <w:r>
        <w:rPr>
          <w:b/>
          <w:sz w:val="22"/>
        </w:rPr>
        <w:tab/>
        <w:t>)</w:t>
      </w:r>
    </w:p>
    <w:p w14:paraId="29EFA4B1" w14:textId="77210E78" w:rsidR="00426625" w:rsidRDefault="00426625" w:rsidP="00426625">
      <w:pPr>
        <w:rPr>
          <w:b/>
          <w:sz w:val="22"/>
        </w:rPr>
      </w:pPr>
      <w:r>
        <w:rPr>
          <w:b/>
          <w:sz w:val="22"/>
        </w:rPr>
        <w:tab/>
      </w:r>
      <w:r>
        <w:rPr>
          <w:b/>
          <w:sz w:val="22"/>
        </w:rPr>
        <w:tab/>
      </w:r>
      <w:r>
        <w:rPr>
          <w:b/>
          <w:sz w:val="22"/>
        </w:rPr>
        <w:tab/>
      </w:r>
      <w:r>
        <w:rPr>
          <w:b/>
          <w:sz w:val="22"/>
        </w:rPr>
        <w:tab/>
      </w:r>
      <w:r>
        <w:rPr>
          <w:b/>
          <w:sz w:val="22"/>
        </w:rPr>
        <w:tab/>
        <w:t>)</w:t>
      </w:r>
      <w:r>
        <w:rPr>
          <w:b/>
          <w:sz w:val="22"/>
        </w:rPr>
        <w:tab/>
      </w:r>
      <w:r w:rsidR="00CC4706">
        <w:rPr>
          <w:b/>
          <w:sz w:val="22"/>
        </w:rPr>
        <w:t>INDICTMENT NO.: 2021-GS-07-</w:t>
      </w:r>
      <w:r w:rsidR="00941CBD">
        <w:rPr>
          <w:b/>
          <w:sz w:val="22"/>
        </w:rPr>
        <w:t>1311</w:t>
      </w:r>
    </w:p>
    <w:p w14:paraId="698DDA96" w14:textId="5FE782AD" w:rsidR="00426625" w:rsidRDefault="00426625" w:rsidP="00426625">
      <w:pPr>
        <w:rPr>
          <w:b/>
          <w:sz w:val="22"/>
        </w:rPr>
      </w:pPr>
      <w:r>
        <w:rPr>
          <w:b/>
          <w:sz w:val="22"/>
        </w:rPr>
        <w:t>STATE OF SOUTH CAROLINA,</w:t>
      </w:r>
      <w:r>
        <w:rPr>
          <w:b/>
          <w:sz w:val="22"/>
        </w:rPr>
        <w:tab/>
        <w:t>)</w:t>
      </w:r>
      <w:r>
        <w:rPr>
          <w:b/>
          <w:sz w:val="22"/>
        </w:rPr>
        <w:tab/>
      </w:r>
      <w:r w:rsidR="00CC4706">
        <w:rPr>
          <w:b/>
          <w:sz w:val="22"/>
        </w:rPr>
        <w:tab/>
      </w:r>
      <w:r w:rsidR="00CC4706">
        <w:rPr>
          <w:b/>
          <w:sz w:val="22"/>
        </w:rPr>
        <w:tab/>
        <w:t xml:space="preserve">        </w:t>
      </w:r>
    </w:p>
    <w:p w14:paraId="0207A6DB" w14:textId="6EA58B8D" w:rsidR="00426625" w:rsidRDefault="00426625" w:rsidP="00426625">
      <w:pPr>
        <w:rPr>
          <w:b/>
          <w:sz w:val="22"/>
        </w:rPr>
      </w:pPr>
      <w:r>
        <w:rPr>
          <w:b/>
          <w:sz w:val="22"/>
        </w:rPr>
        <w:tab/>
      </w:r>
      <w:r>
        <w:rPr>
          <w:b/>
          <w:sz w:val="22"/>
        </w:rPr>
        <w:tab/>
      </w:r>
      <w:r>
        <w:rPr>
          <w:b/>
          <w:sz w:val="22"/>
        </w:rPr>
        <w:tab/>
      </w:r>
      <w:r>
        <w:rPr>
          <w:b/>
          <w:sz w:val="22"/>
        </w:rPr>
        <w:tab/>
      </w:r>
      <w:r>
        <w:rPr>
          <w:b/>
          <w:sz w:val="22"/>
        </w:rPr>
        <w:tab/>
        <w:t>)</w:t>
      </w:r>
      <w:r>
        <w:rPr>
          <w:b/>
          <w:sz w:val="22"/>
        </w:rPr>
        <w:tab/>
      </w:r>
      <w:r>
        <w:rPr>
          <w:b/>
          <w:sz w:val="22"/>
        </w:rPr>
        <w:tab/>
      </w:r>
      <w:r>
        <w:rPr>
          <w:b/>
          <w:sz w:val="22"/>
        </w:rPr>
        <w:tab/>
      </w:r>
      <w:r w:rsidR="00CC4706">
        <w:rPr>
          <w:b/>
          <w:sz w:val="22"/>
        </w:rPr>
        <w:t xml:space="preserve">        </w:t>
      </w:r>
      <w:r>
        <w:rPr>
          <w:b/>
          <w:sz w:val="22"/>
        </w:rPr>
        <w:tab/>
      </w:r>
      <w:r>
        <w:rPr>
          <w:b/>
          <w:sz w:val="22"/>
        </w:rPr>
        <w:tab/>
      </w:r>
    </w:p>
    <w:p w14:paraId="7A98C46C" w14:textId="4A350249" w:rsidR="00426625" w:rsidRDefault="00426625" w:rsidP="00426625">
      <w:pPr>
        <w:rPr>
          <w:b/>
          <w:sz w:val="22"/>
        </w:rPr>
      </w:pPr>
      <w:r>
        <w:rPr>
          <w:b/>
          <w:sz w:val="22"/>
        </w:rPr>
        <w:tab/>
        <w:t>vs.</w:t>
      </w:r>
      <w:r>
        <w:rPr>
          <w:b/>
          <w:sz w:val="22"/>
        </w:rPr>
        <w:tab/>
      </w:r>
      <w:r>
        <w:rPr>
          <w:b/>
          <w:sz w:val="22"/>
        </w:rPr>
        <w:tab/>
      </w:r>
      <w:r>
        <w:rPr>
          <w:b/>
          <w:sz w:val="22"/>
        </w:rPr>
        <w:tab/>
      </w:r>
      <w:r>
        <w:rPr>
          <w:b/>
          <w:sz w:val="22"/>
        </w:rPr>
        <w:tab/>
        <w:t>)</w:t>
      </w:r>
      <w:r>
        <w:rPr>
          <w:b/>
          <w:sz w:val="22"/>
        </w:rPr>
        <w:tab/>
      </w:r>
      <w:r>
        <w:rPr>
          <w:b/>
          <w:sz w:val="22"/>
        </w:rPr>
        <w:tab/>
        <w:t xml:space="preserve">           </w:t>
      </w:r>
      <w:r>
        <w:rPr>
          <w:b/>
          <w:sz w:val="22"/>
        </w:rPr>
        <w:tab/>
      </w:r>
      <w:r w:rsidR="00CC4706">
        <w:rPr>
          <w:b/>
          <w:sz w:val="22"/>
        </w:rPr>
        <w:t xml:space="preserve">        </w:t>
      </w:r>
      <w:r>
        <w:rPr>
          <w:b/>
          <w:sz w:val="22"/>
        </w:rPr>
        <w:tab/>
      </w:r>
      <w:r>
        <w:rPr>
          <w:b/>
          <w:sz w:val="22"/>
        </w:rPr>
        <w:tab/>
      </w:r>
    </w:p>
    <w:p w14:paraId="51B44B29" w14:textId="4BDE5199" w:rsidR="00426625" w:rsidRDefault="00426625" w:rsidP="00426625">
      <w:pPr>
        <w:rPr>
          <w:b/>
          <w:sz w:val="22"/>
        </w:rPr>
      </w:pPr>
      <w:r>
        <w:rPr>
          <w:b/>
          <w:sz w:val="22"/>
        </w:rPr>
        <w:tab/>
      </w:r>
      <w:r>
        <w:rPr>
          <w:b/>
          <w:sz w:val="22"/>
        </w:rPr>
        <w:tab/>
      </w:r>
      <w:r>
        <w:rPr>
          <w:b/>
          <w:sz w:val="22"/>
        </w:rPr>
        <w:tab/>
      </w:r>
      <w:r>
        <w:rPr>
          <w:b/>
          <w:sz w:val="22"/>
        </w:rPr>
        <w:tab/>
      </w:r>
      <w:r>
        <w:rPr>
          <w:b/>
          <w:sz w:val="22"/>
        </w:rPr>
        <w:tab/>
        <w:t>)</w:t>
      </w:r>
      <w:r>
        <w:rPr>
          <w:b/>
          <w:sz w:val="22"/>
        </w:rPr>
        <w:tab/>
      </w:r>
      <w:r w:rsidR="00941CBD">
        <w:rPr>
          <w:b/>
          <w:sz w:val="22"/>
        </w:rPr>
        <w:t xml:space="preserve">MOTION AND MEMORANDUM TO </w:t>
      </w:r>
      <w:r w:rsidR="00292398">
        <w:rPr>
          <w:b/>
          <w:sz w:val="22"/>
        </w:rPr>
        <w:t>SUPPRESS</w:t>
      </w:r>
      <w:r>
        <w:rPr>
          <w:b/>
          <w:sz w:val="22"/>
        </w:rPr>
        <w:tab/>
      </w:r>
    </w:p>
    <w:p w14:paraId="0CB45244" w14:textId="2F91E42D" w:rsidR="00426625" w:rsidRDefault="0016715B" w:rsidP="00426625">
      <w:pPr>
        <w:rPr>
          <w:b/>
          <w:sz w:val="22"/>
        </w:rPr>
      </w:pPr>
      <w:r>
        <w:rPr>
          <w:b/>
          <w:sz w:val="22"/>
        </w:rPr>
        <w:t>DEVANTE WHITE</w:t>
      </w:r>
      <w:r w:rsidR="00426625">
        <w:rPr>
          <w:b/>
          <w:sz w:val="22"/>
        </w:rPr>
        <w:t>,</w:t>
      </w:r>
      <w:r w:rsidR="002335D7">
        <w:rPr>
          <w:b/>
          <w:sz w:val="22"/>
        </w:rPr>
        <w:tab/>
      </w:r>
      <w:r w:rsidR="00426625">
        <w:rPr>
          <w:b/>
          <w:sz w:val="22"/>
        </w:rPr>
        <w:tab/>
      </w:r>
      <w:r w:rsidR="00426625">
        <w:rPr>
          <w:b/>
          <w:sz w:val="22"/>
        </w:rPr>
        <w:tab/>
        <w:t>)</w:t>
      </w:r>
      <w:r w:rsidR="00426625">
        <w:rPr>
          <w:b/>
          <w:sz w:val="22"/>
        </w:rPr>
        <w:tab/>
      </w:r>
      <w:r w:rsidR="00292398">
        <w:rPr>
          <w:b/>
          <w:sz w:val="22"/>
        </w:rPr>
        <w:t>CELL PHONE RECORDS</w:t>
      </w:r>
      <w:r w:rsidR="00292398">
        <w:rPr>
          <w:b/>
          <w:sz w:val="22"/>
        </w:rPr>
        <w:tab/>
      </w:r>
      <w:r w:rsidR="00426625">
        <w:rPr>
          <w:b/>
          <w:sz w:val="22"/>
        </w:rPr>
        <w:tab/>
      </w:r>
      <w:r w:rsidR="00426625">
        <w:rPr>
          <w:b/>
          <w:sz w:val="22"/>
        </w:rPr>
        <w:tab/>
      </w:r>
      <w:r w:rsidR="00426625">
        <w:rPr>
          <w:b/>
          <w:sz w:val="22"/>
        </w:rPr>
        <w:tab/>
      </w:r>
      <w:r w:rsidR="00426625">
        <w:rPr>
          <w:b/>
          <w:sz w:val="22"/>
        </w:rPr>
        <w:tab/>
      </w:r>
      <w:r w:rsidR="00426625">
        <w:rPr>
          <w:b/>
          <w:sz w:val="22"/>
        </w:rPr>
        <w:tab/>
      </w:r>
      <w:r w:rsidR="00426625">
        <w:rPr>
          <w:b/>
          <w:sz w:val="22"/>
        </w:rPr>
        <w:tab/>
      </w:r>
      <w:r w:rsidR="00426625">
        <w:rPr>
          <w:b/>
          <w:sz w:val="22"/>
        </w:rPr>
        <w:tab/>
      </w:r>
      <w:r w:rsidR="00426625">
        <w:rPr>
          <w:b/>
          <w:sz w:val="22"/>
        </w:rPr>
        <w:tab/>
        <w:t>)</w:t>
      </w:r>
      <w:r w:rsidR="00426625">
        <w:rPr>
          <w:b/>
          <w:sz w:val="22"/>
        </w:rPr>
        <w:tab/>
      </w:r>
      <w:r w:rsidR="00426625">
        <w:rPr>
          <w:b/>
          <w:sz w:val="22"/>
        </w:rPr>
        <w:tab/>
      </w:r>
    </w:p>
    <w:p w14:paraId="7CC4C388" w14:textId="77777777" w:rsidR="00426625" w:rsidRPr="00C26D9D" w:rsidRDefault="00426625" w:rsidP="00426625">
      <w:pPr>
        <w:rPr>
          <w:b/>
          <w:sz w:val="22"/>
        </w:rPr>
      </w:pPr>
      <w:r>
        <w:rPr>
          <w:b/>
          <w:sz w:val="22"/>
        </w:rPr>
        <w:tab/>
      </w:r>
      <w:r>
        <w:rPr>
          <w:b/>
          <w:sz w:val="22"/>
        </w:rPr>
        <w:tab/>
        <w:t>Defendant.</w:t>
      </w:r>
      <w:r>
        <w:rPr>
          <w:b/>
          <w:sz w:val="22"/>
        </w:rPr>
        <w:tab/>
      </w:r>
      <w:r>
        <w:rPr>
          <w:b/>
          <w:sz w:val="22"/>
        </w:rPr>
        <w:tab/>
        <w:t>)</w:t>
      </w:r>
      <w:r>
        <w:rPr>
          <w:b/>
          <w:sz w:val="22"/>
        </w:rPr>
        <w:tab/>
        <w:t xml:space="preserve"> </w:t>
      </w:r>
      <w:r>
        <w:rPr>
          <w:b/>
          <w:sz w:val="22"/>
        </w:rPr>
        <w:tab/>
      </w:r>
      <w:r>
        <w:rPr>
          <w:b/>
          <w:sz w:val="22"/>
        </w:rPr>
        <w:tab/>
      </w:r>
      <w:r>
        <w:rPr>
          <w:b/>
          <w:sz w:val="22"/>
        </w:rPr>
        <w:tab/>
      </w:r>
      <w:r>
        <w:rPr>
          <w:b/>
          <w:sz w:val="22"/>
        </w:rPr>
        <w:tab/>
      </w:r>
      <w:r>
        <w:rPr>
          <w:b/>
          <w:sz w:val="22"/>
        </w:rPr>
        <w:tab/>
      </w:r>
      <w:r>
        <w:rPr>
          <w:b/>
          <w:sz w:val="22"/>
        </w:rPr>
        <w:tab/>
      </w:r>
      <w:r>
        <w:rPr>
          <w:b/>
          <w:sz w:val="22"/>
        </w:rPr>
        <w:tab/>
      </w:r>
    </w:p>
    <w:p w14:paraId="622B57BC" w14:textId="77777777" w:rsidR="00941CBD" w:rsidRDefault="00426625" w:rsidP="00941CBD">
      <w:pPr>
        <w:rPr>
          <w:b/>
          <w:sz w:val="22"/>
        </w:rPr>
      </w:pPr>
      <w:r>
        <w:rPr>
          <w:b/>
          <w:sz w:val="22"/>
        </w:rPr>
        <w:t>___________________________________________</w:t>
      </w:r>
      <w:r>
        <w:rPr>
          <w:b/>
          <w:sz w:val="22"/>
        </w:rPr>
        <w:tab/>
        <w:t>)</w:t>
      </w:r>
      <w:r>
        <w:rPr>
          <w:b/>
          <w:sz w:val="22"/>
        </w:rPr>
        <w:tab/>
      </w:r>
      <w:r>
        <w:rPr>
          <w:b/>
          <w:sz w:val="22"/>
        </w:rPr>
        <w:tab/>
        <w:t xml:space="preserve"> </w:t>
      </w:r>
    </w:p>
    <w:p w14:paraId="10C597D9" w14:textId="77777777" w:rsidR="00941CBD" w:rsidRDefault="00941CBD" w:rsidP="00941CBD">
      <w:pPr>
        <w:rPr>
          <w:b/>
          <w:sz w:val="22"/>
        </w:rPr>
      </w:pPr>
    </w:p>
    <w:p w14:paraId="48A723B8" w14:textId="608F6200" w:rsidR="00B16E49" w:rsidRDefault="00941CBD" w:rsidP="00292398">
      <w:pPr>
        <w:spacing w:line="480" w:lineRule="auto"/>
        <w:jc w:val="both"/>
        <w:rPr>
          <w:sz w:val="22"/>
        </w:rPr>
      </w:pPr>
      <w:r>
        <w:rPr>
          <w:sz w:val="22"/>
        </w:rPr>
        <w:tab/>
        <w:t xml:space="preserve">NOW COMES THE DEFENDANT, Devante White, through his attorney, Ashley B. Cornwell, and respectfully submits the following Motion and Memorandum in Support of Motion to </w:t>
      </w:r>
      <w:r w:rsidR="00292398">
        <w:rPr>
          <w:sz w:val="22"/>
        </w:rPr>
        <w:t>Suppress Cell Phone Records</w:t>
      </w:r>
      <w:r>
        <w:rPr>
          <w:sz w:val="22"/>
        </w:rPr>
        <w:t>.</w:t>
      </w:r>
      <w:r w:rsidR="00B16E49">
        <w:rPr>
          <w:sz w:val="22"/>
        </w:rPr>
        <w:t xml:space="preserve"> It is Defendant’s position that </w:t>
      </w:r>
      <w:r w:rsidR="00292398">
        <w:rPr>
          <w:sz w:val="22"/>
        </w:rPr>
        <w:t xml:space="preserve">the </w:t>
      </w:r>
      <w:r w:rsidR="004C4976">
        <w:rPr>
          <w:sz w:val="22"/>
        </w:rPr>
        <w:t xml:space="preserve">delay </w:t>
      </w:r>
      <w:r w:rsidR="00187121">
        <w:rPr>
          <w:sz w:val="22"/>
        </w:rPr>
        <w:t>in</w:t>
      </w:r>
      <w:r w:rsidR="008235DC">
        <w:rPr>
          <w:sz w:val="22"/>
        </w:rPr>
        <w:t xml:space="preserve"> law enforcement </w:t>
      </w:r>
      <w:r w:rsidR="004C4976">
        <w:rPr>
          <w:sz w:val="22"/>
        </w:rPr>
        <w:t xml:space="preserve">obtaining search warrants </w:t>
      </w:r>
      <w:r w:rsidR="001D4479">
        <w:rPr>
          <w:sz w:val="22"/>
        </w:rPr>
        <w:t xml:space="preserve">for the cell phone </w:t>
      </w:r>
      <w:r w:rsidR="008235DC">
        <w:rPr>
          <w:sz w:val="22"/>
        </w:rPr>
        <w:t>interfered with Defendant’s possessory interest.</w:t>
      </w:r>
      <w:r w:rsidR="00292398">
        <w:rPr>
          <w:sz w:val="22"/>
        </w:rPr>
        <w:t xml:space="preserve"> </w:t>
      </w:r>
      <w:r w:rsidR="008235DC">
        <w:rPr>
          <w:sz w:val="22"/>
        </w:rPr>
        <w:t>A</w:t>
      </w:r>
      <w:r w:rsidR="004C4976">
        <w:rPr>
          <w:sz w:val="22"/>
        </w:rPr>
        <w:t xml:space="preserve">s such, </w:t>
      </w:r>
      <w:r w:rsidR="00613595">
        <w:rPr>
          <w:sz w:val="22"/>
        </w:rPr>
        <w:t>the</w:t>
      </w:r>
      <w:r w:rsidR="008235DC">
        <w:rPr>
          <w:sz w:val="22"/>
        </w:rPr>
        <w:t xml:space="preserve"> search of the cell phone </w:t>
      </w:r>
      <w:r w:rsidR="00613595">
        <w:rPr>
          <w:sz w:val="22"/>
        </w:rPr>
        <w:t>was</w:t>
      </w:r>
      <w:r w:rsidR="008235DC">
        <w:rPr>
          <w:sz w:val="22"/>
        </w:rPr>
        <w:t xml:space="preserve"> </w:t>
      </w:r>
      <w:r w:rsidR="00187121">
        <w:rPr>
          <w:sz w:val="22"/>
        </w:rPr>
        <w:t>unconstitutional,</w:t>
      </w:r>
      <w:r w:rsidR="008235DC">
        <w:rPr>
          <w:sz w:val="22"/>
        </w:rPr>
        <w:t xml:space="preserve"> and </w:t>
      </w:r>
      <w:r w:rsidR="00292398">
        <w:rPr>
          <w:sz w:val="22"/>
        </w:rPr>
        <w:t>all information seized from the cell phone</w:t>
      </w:r>
      <w:r w:rsidR="004C4976">
        <w:rPr>
          <w:sz w:val="22"/>
        </w:rPr>
        <w:t xml:space="preserve"> </w:t>
      </w:r>
      <w:r w:rsidR="00187121">
        <w:rPr>
          <w:sz w:val="22"/>
        </w:rPr>
        <w:t>s</w:t>
      </w:r>
      <w:r w:rsidR="00292398">
        <w:rPr>
          <w:sz w:val="22"/>
        </w:rPr>
        <w:t>hould be suppressed.</w:t>
      </w:r>
    </w:p>
    <w:p w14:paraId="177DF319" w14:textId="0A355EBF" w:rsidR="008619D3" w:rsidRDefault="00B16E49" w:rsidP="00B16E49">
      <w:pPr>
        <w:spacing w:line="480" w:lineRule="auto"/>
        <w:jc w:val="center"/>
        <w:rPr>
          <w:sz w:val="22"/>
        </w:rPr>
      </w:pPr>
      <w:r>
        <w:rPr>
          <w:sz w:val="22"/>
          <w:u w:val="single"/>
        </w:rPr>
        <w:t>STATEMENT OF FACTS</w:t>
      </w:r>
    </w:p>
    <w:p w14:paraId="18631C77" w14:textId="49350619" w:rsidR="006037E2" w:rsidRDefault="00B16E49" w:rsidP="006037E2">
      <w:pPr>
        <w:spacing w:line="480" w:lineRule="auto"/>
        <w:jc w:val="both"/>
        <w:rPr>
          <w:sz w:val="22"/>
        </w:rPr>
      </w:pPr>
      <w:r>
        <w:rPr>
          <w:sz w:val="22"/>
        </w:rPr>
        <w:tab/>
      </w:r>
      <w:r w:rsidR="009326BB">
        <w:rPr>
          <w:sz w:val="22"/>
        </w:rPr>
        <w:t xml:space="preserve">Devante White was </w:t>
      </w:r>
      <w:r w:rsidR="00A744AE">
        <w:rPr>
          <w:sz w:val="22"/>
        </w:rPr>
        <w:t>arrested</w:t>
      </w:r>
      <w:r w:rsidR="00292398">
        <w:rPr>
          <w:sz w:val="22"/>
        </w:rPr>
        <w:t xml:space="preserve"> on November 17, 2020</w:t>
      </w:r>
      <w:r w:rsidR="001D4479">
        <w:rPr>
          <w:sz w:val="22"/>
        </w:rPr>
        <w:t>, on charges of murder, kidnapping, armed robbery, and possession of a weapon during the commission of a violent offense</w:t>
      </w:r>
      <w:r w:rsidR="00A744AE">
        <w:rPr>
          <w:sz w:val="22"/>
        </w:rPr>
        <w:t xml:space="preserve">. </w:t>
      </w:r>
      <w:r w:rsidR="001D4479">
        <w:rPr>
          <w:sz w:val="22"/>
        </w:rPr>
        <w:t>On the same day as the</w:t>
      </w:r>
      <w:r w:rsidR="00A744AE">
        <w:rPr>
          <w:sz w:val="22"/>
        </w:rPr>
        <w:t xml:space="preserve"> arrest, law enforcement seized </w:t>
      </w:r>
      <w:r w:rsidR="001D4479">
        <w:rPr>
          <w:sz w:val="22"/>
        </w:rPr>
        <w:t>a cell phone</w:t>
      </w:r>
      <w:r w:rsidR="00A744AE">
        <w:rPr>
          <w:sz w:val="22"/>
        </w:rPr>
        <w:t xml:space="preserve"> </w:t>
      </w:r>
      <w:r w:rsidR="001D4479">
        <w:rPr>
          <w:sz w:val="22"/>
        </w:rPr>
        <w:t>belonging</w:t>
      </w:r>
      <w:r w:rsidR="00A744AE">
        <w:rPr>
          <w:sz w:val="22"/>
        </w:rPr>
        <w:t xml:space="preserve"> to Mr. White</w:t>
      </w:r>
      <w:r w:rsidR="00D1580A">
        <w:rPr>
          <w:sz w:val="22"/>
        </w:rPr>
        <w:t xml:space="preserve"> and has maintained custody and control over that cell phone since the day it was seized</w:t>
      </w:r>
      <w:r w:rsidR="00A744AE">
        <w:rPr>
          <w:sz w:val="22"/>
        </w:rPr>
        <w:t xml:space="preserve">. </w:t>
      </w:r>
      <w:r w:rsidR="001D4479">
        <w:rPr>
          <w:sz w:val="22"/>
        </w:rPr>
        <w:t>Mr. White did not consent to the seizure</w:t>
      </w:r>
      <w:r w:rsidR="00D1580A">
        <w:rPr>
          <w:sz w:val="22"/>
        </w:rPr>
        <w:t xml:space="preserve"> or subsequent search of his cell phone</w:t>
      </w:r>
      <w:r w:rsidR="00A744AE">
        <w:rPr>
          <w:sz w:val="22"/>
        </w:rPr>
        <w:t xml:space="preserve">. On June 15, 2021, law enforcement obtained a search warrant for </w:t>
      </w:r>
      <w:r w:rsidR="001D4479">
        <w:rPr>
          <w:sz w:val="22"/>
        </w:rPr>
        <w:t>Mr. White’s cell phone and sent the phone to</w:t>
      </w:r>
      <w:r w:rsidR="00A744AE">
        <w:rPr>
          <w:sz w:val="22"/>
        </w:rPr>
        <w:t xml:space="preserve"> SLED for analysis</w:t>
      </w:r>
      <w:r w:rsidR="001D4479">
        <w:rPr>
          <w:sz w:val="22"/>
        </w:rPr>
        <w:t>. SLED’s search of Mr. White’s phone</w:t>
      </w:r>
      <w:r w:rsidR="00A744AE">
        <w:rPr>
          <w:sz w:val="22"/>
        </w:rPr>
        <w:t xml:space="preserve"> resulted in negative findings</w:t>
      </w:r>
      <w:r w:rsidR="001D4479">
        <w:rPr>
          <w:sz w:val="22"/>
        </w:rPr>
        <w:t xml:space="preserve"> and the phone was returned to the Beaufort County Sheriff’s Office</w:t>
      </w:r>
      <w:r w:rsidR="00A744AE">
        <w:rPr>
          <w:sz w:val="22"/>
        </w:rPr>
        <w:t>. On June 7, 202</w:t>
      </w:r>
      <w:r w:rsidR="001D4479">
        <w:rPr>
          <w:sz w:val="22"/>
        </w:rPr>
        <w:t>2</w:t>
      </w:r>
      <w:r w:rsidR="00A744AE">
        <w:rPr>
          <w:sz w:val="22"/>
        </w:rPr>
        <w:t>, law enforcement obtained a second search warrant to</w:t>
      </w:r>
      <w:r w:rsidR="001D4479">
        <w:rPr>
          <w:sz w:val="22"/>
        </w:rPr>
        <w:t xml:space="preserve"> perform</w:t>
      </w:r>
      <w:r w:rsidR="00A744AE">
        <w:rPr>
          <w:sz w:val="22"/>
        </w:rPr>
        <w:t xml:space="preserve"> </w:t>
      </w:r>
      <w:r w:rsidR="008235DC">
        <w:rPr>
          <w:sz w:val="22"/>
        </w:rPr>
        <w:t>a</w:t>
      </w:r>
      <w:r w:rsidR="005768C3">
        <w:rPr>
          <w:sz w:val="22"/>
        </w:rPr>
        <w:t xml:space="preserve"> second</w:t>
      </w:r>
      <w:r w:rsidR="00A744AE">
        <w:rPr>
          <w:sz w:val="22"/>
        </w:rPr>
        <w:t xml:space="preserve"> search o</w:t>
      </w:r>
      <w:r w:rsidR="001D4479">
        <w:rPr>
          <w:sz w:val="22"/>
        </w:rPr>
        <w:t>f</w:t>
      </w:r>
      <w:r w:rsidR="00A744AE">
        <w:rPr>
          <w:sz w:val="22"/>
        </w:rPr>
        <w:t xml:space="preserve"> Mr. White’s phone</w:t>
      </w:r>
      <w:r w:rsidR="001D4479">
        <w:rPr>
          <w:sz w:val="22"/>
        </w:rPr>
        <w:t>.</w:t>
      </w:r>
      <w:r w:rsidR="00A744AE">
        <w:rPr>
          <w:sz w:val="22"/>
        </w:rPr>
        <w:t xml:space="preserve"> </w:t>
      </w:r>
      <w:r w:rsidR="004C4976">
        <w:rPr>
          <w:sz w:val="22"/>
        </w:rPr>
        <w:t xml:space="preserve">On June 9, 2022, the Beaufort County Sheriff’s Device Extraction Unit issued a report of their findings and </w:t>
      </w:r>
      <w:r w:rsidR="001D4479">
        <w:rPr>
          <w:sz w:val="22"/>
        </w:rPr>
        <w:t xml:space="preserve">provided </w:t>
      </w:r>
      <w:r w:rsidR="004C4976">
        <w:rPr>
          <w:sz w:val="22"/>
        </w:rPr>
        <w:t>evidence</w:t>
      </w:r>
      <w:r w:rsidR="001D4479">
        <w:rPr>
          <w:sz w:val="22"/>
        </w:rPr>
        <w:t xml:space="preserve"> extracted from the phone to the State</w:t>
      </w:r>
      <w:r w:rsidR="00D1580A">
        <w:rPr>
          <w:sz w:val="22"/>
        </w:rPr>
        <w:t>, including, but not limited to, contacts, phone logs, text messages, photographs, social media sites, and location information</w:t>
      </w:r>
      <w:r w:rsidR="004C4976">
        <w:rPr>
          <w:sz w:val="22"/>
        </w:rPr>
        <w:t>.</w:t>
      </w:r>
      <w:r w:rsidR="00D1580A">
        <w:rPr>
          <w:sz w:val="22"/>
        </w:rPr>
        <w:t xml:space="preserve"> </w:t>
      </w:r>
    </w:p>
    <w:p w14:paraId="3356B0A4" w14:textId="77777777" w:rsidR="006037E2" w:rsidRDefault="006037E2" w:rsidP="006037E2">
      <w:pPr>
        <w:spacing w:line="480" w:lineRule="auto"/>
        <w:jc w:val="both"/>
        <w:rPr>
          <w:sz w:val="22"/>
        </w:rPr>
      </w:pPr>
    </w:p>
    <w:p w14:paraId="2FCDC0C8" w14:textId="1FC35DF2" w:rsidR="0092470A" w:rsidRDefault="0092470A" w:rsidP="006037E2">
      <w:pPr>
        <w:spacing w:line="480" w:lineRule="auto"/>
        <w:jc w:val="center"/>
        <w:rPr>
          <w:sz w:val="22"/>
        </w:rPr>
      </w:pPr>
      <w:r>
        <w:rPr>
          <w:sz w:val="22"/>
          <w:u w:val="single"/>
        </w:rPr>
        <w:lastRenderedPageBreak/>
        <w:t>LEGAL ANALYSIS</w:t>
      </w:r>
    </w:p>
    <w:p w14:paraId="120815B4" w14:textId="41DA3597" w:rsidR="00AD50F7" w:rsidRPr="00273C32" w:rsidRDefault="0092470A" w:rsidP="004C4976">
      <w:pPr>
        <w:spacing w:line="480" w:lineRule="auto"/>
        <w:jc w:val="both"/>
        <w:rPr>
          <w:sz w:val="22"/>
        </w:rPr>
      </w:pPr>
      <w:r>
        <w:rPr>
          <w:sz w:val="22"/>
        </w:rPr>
        <w:tab/>
      </w:r>
      <w:r w:rsidR="004E0102">
        <w:rPr>
          <w:sz w:val="22"/>
        </w:rPr>
        <w:t>The Fourth Amendment was created to protect an individuals</w:t>
      </w:r>
      <w:r w:rsidR="00D1580A">
        <w:rPr>
          <w:sz w:val="22"/>
        </w:rPr>
        <w:t>’</w:t>
      </w:r>
      <w:r w:rsidR="004E0102">
        <w:rPr>
          <w:sz w:val="22"/>
        </w:rPr>
        <w:t xml:space="preserve"> right against unreasonable searches and seizures. Our case law has firmly established that “[w]here a search is undertaken by law enforcement officials to discover evidence of criminal wrongdoing…reasonableness generally requires the obtaining of a judicial warrant.” </w:t>
      </w:r>
      <w:r w:rsidR="004E0102">
        <w:rPr>
          <w:i/>
          <w:iCs/>
          <w:sz w:val="22"/>
        </w:rPr>
        <w:t>Riley v. California</w:t>
      </w:r>
      <w:r w:rsidR="004E0102">
        <w:rPr>
          <w:sz w:val="22"/>
        </w:rPr>
        <w:t>, 134 S.Ct. 2473, 189 L.Ed 2d 430, 573 U.S. 373 (2014)</w:t>
      </w:r>
      <w:r w:rsidR="00D1580A">
        <w:rPr>
          <w:sz w:val="22"/>
        </w:rPr>
        <w:t>(internal citations omitted).</w:t>
      </w:r>
      <w:r w:rsidR="004E0102">
        <w:rPr>
          <w:sz w:val="22"/>
        </w:rPr>
        <w:t xml:space="preserve"> </w:t>
      </w:r>
      <w:r w:rsidR="00D4696E">
        <w:rPr>
          <w:sz w:val="22"/>
        </w:rPr>
        <w:t>Furthermore, a</w:t>
      </w:r>
      <w:r w:rsidR="004C4976">
        <w:rPr>
          <w:sz w:val="22"/>
        </w:rPr>
        <w:t xml:space="preserve"> seizure that is “lawful at its inception can nevertheless violate the Fourth Amendment because its manner of execution unreasonably infringes </w:t>
      </w:r>
      <w:r w:rsidR="00BA7979">
        <w:rPr>
          <w:sz w:val="22"/>
        </w:rPr>
        <w:t xml:space="preserve">upon </w:t>
      </w:r>
      <w:r w:rsidR="004C4976">
        <w:rPr>
          <w:sz w:val="22"/>
        </w:rPr>
        <w:t xml:space="preserve">possessory interests.” </w:t>
      </w:r>
      <w:r w:rsidR="00255FA9">
        <w:rPr>
          <w:i/>
          <w:iCs/>
          <w:sz w:val="22"/>
        </w:rPr>
        <w:t>U</w:t>
      </w:r>
      <w:r w:rsidR="00273C32">
        <w:rPr>
          <w:i/>
          <w:iCs/>
          <w:sz w:val="22"/>
        </w:rPr>
        <w:t>.S.</w:t>
      </w:r>
      <w:r w:rsidR="00255FA9">
        <w:rPr>
          <w:i/>
          <w:iCs/>
          <w:sz w:val="22"/>
        </w:rPr>
        <w:t xml:space="preserve"> v. Pratt</w:t>
      </w:r>
      <w:r w:rsidR="00255FA9">
        <w:rPr>
          <w:sz w:val="22"/>
        </w:rPr>
        <w:t>, 915 F.3</w:t>
      </w:r>
      <w:r w:rsidR="00255FA9" w:rsidRPr="00255FA9">
        <w:rPr>
          <w:sz w:val="22"/>
          <w:vertAlign w:val="superscript"/>
        </w:rPr>
        <w:t>rd</w:t>
      </w:r>
      <w:r w:rsidR="00255FA9">
        <w:rPr>
          <w:sz w:val="22"/>
        </w:rPr>
        <w:t xml:space="preserve"> 266 (4</w:t>
      </w:r>
      <w:r w:rsidR="00255FA9" w:rsidRPr="00255FA9">
        <w:rPr>
          <w:sz w:val="22"/>
          <w:vertAlign w:val="superscript"/>
        </w:rPr>
        <w:t>th</w:t>
      </w:r>
      <w:r w:rsidR="00255FA9">
        <w:rPr>
          <w:sz w:val="22"/>
        </w:rPr>
        <w:t xml:space="preserve"> Cir. 2019)(internal citations omitted)</w:t>
      </w:r>
      <w:r w:rsidR="00D1580A">
        <w:rPr>
          <w:sz w:val="22"/>
        </w:rPr>
        <w:t>.</w:t>
      </w:r>
      <w:r w:rsidR="00255FA9">
        <w:rPr>
          <w:sz w:val="22"/>
        </w:rPr>
        <w:t xml:space="preserve"> </w:t>
      </w:r>
      <w:r w:rsidR="00273C32">
        <w:rPr>
          <w:sz w:val="22"/>
        </w:rPr>
        <w:t xml:space="preserve">Thus, “even a seizure based on probable cause is unconstitutional if the police act with unreasonable delay in securing a warrant.” </w:t>
      </w:r>
      <w:r w:rsidR="00273C32">
        <w:rPr>
          <w:i/>
          <w:iCs/>
          <w:sz w:val="22"/>
        </w:rPr>
        <w:t xml:space="preserve">U.S. v. Mitchell, </w:t>
      </w:r>
      <w:r w:rsidR="00273C32">
        <w:rPr>
          <w:sz w:val="22"/>
        </w:rPr>
        <w:t>565 F.3d 1347 (11</w:t>
      </w:r>
      <w:r w:rsidR="00273C32" w:rsidRPr="00273C32">
        <w:rPr>
          <w:sz w:val="22"/>
          <w:vertAlign w:val="superscript"/>
        </w:rPr>
        <w:t>th</w:t>
      </w:r>
      <w:r w:rsidR="00273C32">
        <w:rPr>
          <w:sz w:val="22"/>
        </w:rPr>
        <w:t xml:space="preserve"> Cir. 2009)</w:t>
      </w:r>
      <w:r w:rsidR="00D1580A">
        <w:rPr>
          <w:sz w:val="22"/>
        </w:rPr>
        <w:t>.</w:t>
      </w:r>
      <w:r w:rsidR="00273C32">
        <w:rPr>
          <w:i/>
          <w:iCs/>
          <w:sz w:val="22"/>
        </w:rPr>
        <w:t xml:space="preserve"> </w:t>
      </w:r>
      <w:r w:rsidR="00A13936" w:rsidRPr="00D4696E">
        <w:rPr>
          <w:sz w:val="22"/>
        </w:rPr>
        <w:t>To</w:t>
      </w:r>
      <w:r w:rsidR="00A13936">
        <w:rPr>
          <w:sz w:val="22"/>
        </w:rPr>
        <w:t xml:space="preserve"> determine if an extended seizure violates the Fourth Amendment, the court must balance the government’s interest in the seizure against the individual’s possessory interest in the object seized. </w:t>
      </w:r>
      <w:r w:rsidR="00A13936">
        <w:rPr>
          <w:i/>
          <w:iCs/>
          <w:sz w:val="22"/>
        </w:rPr>
        <w:t>Id.</w:t>
      </w:r>
      <w:r w:rsidR="00A13936">
        <w:rPr>
          <w:sz w:val="22"/>
        </w:rPr>
        <w:t xml:space="preserve"> </w:t>
      </w:r>
      <w:r w:rsidR="00D4696E">
        <w:rPr>
          <w:sz w:val="22"/>
        </w:rPr>
        <w:t>The fact that an arrestee has diminished privacy interests does not mean that the Fourth Amendment falls out of the picture entirely</w:t>
      </w:r>
      <w:r w:rsidR="00A13936">
        <w:rPr>
          <w:sz w:val="22"/>
        </w:rPr>
        <w:t xml:space="preserve"> and n</w:t>
      </w:r>
      <w:r w:rsidR="00D4696E">
        <w:rPr>
          <w:sz w:val="22"/>
        </w:rPr>
        <w:t xml:space="preserve">ot every search “is acceptable solely because a person is in custody.” </w:t>
      </w:r>
      <w:r w:rsidR="00E80421" w:rsidRPr="00E80421">
        <w:rPr>
          <w:i/>
          <w:iCs/>
          <w:sz w:val="22"/>
        </w:rPr>
        <w:t>See</w:t>
      </w:r>
      <w:r w:rsidR="00E80421">
        <w:rPr>
          <w:sz w:val="22"/>
        </w:rPr>
        <w:t xml:space="preserve"> </w:t>
      </w:r>
      <w:r w:rsidR="00D4696E">
        <w:rPr>
          <w:i/>
          <w:iCs/>
          <w:sz w:val="22"/>
        </w:rPr>
        <w:t xml:space="preserve">Riley, </w:t>
      </w:r>
      <w:r w:rsidR="00D4696E">
        <w:rPr>
          <w:sz w:val="22"/>
        </w:rPr>
        <w:t xml:space="preserve">134 S.Ct. at 2488. </w:t>
      </w:r>
      <w:r w:rsidR="00A13936">
        <w:rPr>
          <w:sz w:val="22"/>
        </w:rPr>
        <w:t>In particular, c</w:t>
      </w:r>
      <w:r w:rsidR="00D4696E">
        <w:rPr>
          <w:sz w:val="22"/>
        </w:rPr>
        <w:t xml:space="preserve">ell phones differ </w:t>
      </w:r>
      <w:r w:rsidR="00A13936">
        <w:rPr>
          <w:sz w:val="22"/>
        </w:rPr>
        <w:t xml:space="preserve">from other seized evidence </w:t>
      </w:r>
      <w:r w:rsidR="00D4696E">
        <w:rPr>
          <w:sz w:val="22"/>
        </w:rPr>
        <w:t>in both a quantitative and qualitative sense from other objects that might be kept on an arrestee’s person</w:t>
      </w:r>
      <w:r w:rsidR="00E80421">
        <w:rPr>
          <w:sz w:val="22"/>
        </w:rPr>
        <w:t xml:space="preserve"> given a cell phone’s</w:t>
      </w:r>
      <w:r w:rsidR="00D4696E">
        <w:rPr>
          <w:sz w:val="22"/>
        </w:rPr>
        <w:t xml:space="preserve"> distinguishing features</w:t>
      </w:r>
      <w:r w:rsidR="00BA7979">
        <w:rPr>
          <w:sz w:val="22"/>
        </w:rPr>
        <w:t>,</w:t>
      </w:r>
      <w:r w:rsidR="00D4696E">
        <w:rPr>
          <w:sz w:val="22"/>
        </w:rPr>
        <w:t xml:space="preserve"> </w:t>
      </w:r>
      <w:r w:rsidR="00E80421">
        <w:rPr>
          <w:sz w:val="22"/>
        </w:rPr>
        <w:t>such as</w:t>
      </w:r>
      <w:r w:rsidR="00D4696E">
        <w:rPr>
          <w:sz w:val="22"/>
        </w:rPr>
        <w:t xml:space="preserve"> its immense storage capacity. </w:t>
      </w:r>
      <w:r w:rsidR="00D4696E" w:rsidRPr="00D4696E">
        <w:rPr>
          <w:i/>
          <w:iCs/>
          <w:sz w:val="22"/>
        </w:rPr>
        <w:t>Id</w:t>
      </w:r>
      <w:r w:rsidR="00D4696E">
        <w:rPr>
          <w:i/>
          <w:iCs/>
          <w:sz w:val="22"/>
        </w:rPr>
        <w:t xml:space="preserve">. </w:t>
      </w:r>
      <w:r w:rsidR="00A13936">
        <w:rPr>
          <w:sz w:val="22"/>
        </w:rPr>
        <w:t>As such, a person maintains a possessory interest in a cell phone, even when the cell phone is seized incident to arrest</w:t>
      </w:r>
      <w:r w:rsidR="00BA7979">
        <w:rPr>
          <w:sz w:val="22"/>
        </w:rPr>
        <w:t>;</w:t>
      </w:r>
      <w:r w:rsidR="00A13936">
        <w:rPr>
          <w:sz w:val="22"/>
        </w:rPr>
        <w:t xml:space="preserve"> and a warrant must be reasonably obtained in order to access information from </w:t>
      </w:r>
      <w:r w:rsidR="006037E2">
        <w:rPr>
          <w:sz w:val="22"/>
        </w:rPr>
        <w:t>the</w:t>
      </w:r>
      <w:r w:rsidR="00A13936">
        <w:rPr>
          <w:sz w:val="22"/>
        </w:rPr>
        <w:t xml:space="preserve"> cell phone.  </w:t>
      </w:r>
      <w:r w:rsidR="00273C32">
        <w:rPr>
          <w:sz w:val="22"/>
        </w:rPr>
        <w:t>The reasonableness of the delay</w:t>
      </w:r>
      <w:r w:rsidR="00BA7979">
        <w:rPr>
          <w:sz w:val="22"/>
        </w:rPr>
        <w:t xml:space="preserve"> between the seizure of an object and obtaining a search warrant for that object</w:t>
      </w:r>
      <w:r w:rsidR="00273C32">
        <w:rPr>
          <w:sz w:val="22"/>
        </w:rPr>
        <w:t xml:space="preserve"> is determined “in light of all the facts and circumstances,” and “on a </w:t>
      </w:r>
      <w:r w:rsidR="00AB322D">
        <w:rPr>
          <w:sz w:val="22"/>
        </w:rPr>
        <w:t>case-by-case</w:t>
      </w:r>
      <w:r w:rsidR="00273C32">
        <w:rPr>
          <w:sz w:val="22"/>
        </w:rPr>
        <w:t xml:space="preserve"> basis.” </w:t>
      </w:r>
      <w:r w:rsidR="00273C32">
        <w:rPr>
          <w:i/>
          <w:iCs/>
          <w:sz w:val="22"/>
        </w:rPr>
        <w:t>Mitchell,</w:t>
      </w:r>
      <w:r w:rsidR="00273C32">
        <w:rPr>
          <w:sz w:val="22"/>
        </w:rPr>
        <w:t xml:space="preserve"> 565 F.3d at 1351 (internal citations omitted). The reasonableness determination will reflect a “careful balancing of governmental and private interests.” </w:t>
      </w:r>
      <w:r w:rsidR="00273C32">
        <w:rPr>
          <w:i/>
          <w:iCs/>
          <w:sz w:val="22"/>
        </w:rPr>
        <w:t>Id.</w:t>
      </w:r>
    </w:p>
    <w:p w14:paraId="7358B0BA" w14:textId="05610E87" w:rsidR="005768C3" w:rsidRDefault="00255FA9" w:rsidP="004C4976">
      <w:pPr>
        <w:spacing w:line="480" w:lineRule="auto"/>
        <w:jc w:val="both"/>
        <w:rPr>
          <w:sz w:val="22"/>
        </w:rPr>
      </w:pPr>
      <w:r>
        <w:rPr>
          <w:sz w:val="22"/>
        </w:rPr>
        <w:tab/>
        <w:t xml:space="preserve">In </w:t>
      </w:r>
      <w:r w:rsidR="00E80421">
        <w:rPr>
          <w:i/>
          <w:iCs/>
          <w:sz w:val="22"/>
        </w:rPr>
        <w:t>U</w:t>
      </w:r>
      <w:r w:rsidR="00273C32">
        <w:rPr>
          <w:i/>
          <w:iCs/>
          <w:sz w:val="22"/>
        </w:rPr>
        <w:t>.S.</w:t>
      </w:r>
      <w:r w:rsidR="00E80421">
        <w:rPr>
          <w:i/>
          <w:iCs/>
          <w:sz w:val="22"/>
        </w:rPr>
        <w:t xml:space="preserve"> v. </w:t>
      </w:r>
      <w:r>
        <w:rPr>
          <w:i/>
          <w:iCs/>
          <w:sz w:val="22"/>
        </w:rPr>
        <w:t>Pratt</w:t>
      </w:r>
      <w:r>
        <w:rPr>
          <w:sz w:val="22"/>
        </w:rPr>
        <w:t xml:space="preserve">, Samuel Pratt was convicted of eight counts related to sex trafficking and child pornography. Pratt’s conviction was overturned when the </w:t>
      </w:r>
      <w:r w:rsidR="002F3E35">
        <w:rPr>
          <w:sz w:val="22"/>
        </w:rPr>
        <w:t xml:space="preserve">Fourth </w:t>
      </w:r>
      <w:r>
        <w:rPr>
          <w:sz w:val="22"/>
        </w:rPr>
        <w:t xml:space="preserve">Circuit Court of Appeals determined that the evidence from Pratt’s cellphone should have been suppressed </w:t>
      </w:r>
      <w:r w:rsidR="001A779D">
        <w:rPr>
          <w:sz w:val="22"/>
        </w:rPr>
        <w:t xml:space="preserve">because the </w:t>
      </w:r>
      <w:r w:rsidR="001A779D">
        <w:rPr>
          <w:sz w:val="22"/>
        </w:rPr>
        <w:lastRenderedPageBreak/>
        <w:t>government’s delay from the time they seized Pratt’s phone to the time they got a warrant for the contents of the cell</w:t>
      </w:r>
      <w:r w:rsidR="00BA7979">
        <w:rPr>
          <w:sz w:val="22"/>
        </w:rPr>
        <w:t xml:space="preserve"> </w:t>
      </w:r>
      <w:r w:rsidR="001A779D">
        <w:rPr>
          <w:sz w:val="22"/>
        </w:rPr>
        <w:t>phone violated Pratt’s 4</w:t>
      </w:r>
      <w:r w:rsidR="001A779D" w:rsidRPr="001A779D">
        <w:rPr>
          <w:sz w:val="22"/>
          <w:vertAlign w:val="superscript"/>
        </w:rPr>
        <w:t>th</w:t>
      </w:r>
      <w:r w:rsidR="001A779D">
        <w:rPr>
          <w:sz w:val="22"/>
        </w:rPr>
        <w:t xml:space="preserve"> Amendment right</w:t>
      </w:r>
      <w:r w:rsidR="005768C3">
        <w:rPr>
          <w:sz w:val="22"/>
        </w:rPr>
        <w:t>s</w:t>
      </w:r>
      <w:r w:rsidR="001A779D">
        <w:rPr>
          <w:sz w:val="22"/>
        </w:rPr>
        <w:t xml:space="preserve">. In that case, FBI agents in the Carolinas were investigating Pratt for running a prostitution ring that included juveniles. They set up an undercover sting operation on February 3, 2016, where </w:t>
      </w:r>
      <w:r w:rsidR="006037E2">
        <w:rPr>
          <w:sz w:val="22"/>
        </w:rPr>
        <w:t xml:space="preserve">Pratt sent </w:t>
      </w:r>
      <w:r w:rsidR="001A779D">
        <w:rPr>
          <w:sz w:val="22"/>
        </w:rPr>
        <w:t xml:space="preserve">a seventeen-year-old </w:t>
      </w:r>
      <w:r w:rsidR="006037E2">
        <w:rPr>
          <w:sz w:val="22"/>
        </w:rPr>
        <w:t>to a</w:t>
      </w:r>
      <w:r w:rsidR="001A779D">
        <w:rPr>
          <w:sz w:val="22"/>
        </w:rPr>
        <w:t xml:space="preserve"> hotel room for a “date.” Once the juvenile entered the hotel room agents identified themselves and spoke to the juvenile about Pratt. The juvenile confirmed she had texted nude photos of herself to Pratt’s phone. As the juvenile was speaking to agents in the hotel room, additional agents detained Pratt in the hotel parking lot. Pratt was holding an iPhone when agents approached him, confirmed the phone was his</w:t>
      </w:r>
      <w:r w:rsidR="006037E2">
        <w:rPr>
          <w:sz w:val="22"/>
        </w:rPr>
        <w:t>,</w:t>
      </w:r>
      <w:r w:rsidR="001A779D">
        <w:rPr>
          <w:sz w:val="22"/>
        </w:rPr>
        <w:t xml:space="preserve"> and admitted to agents that he had nude photos of the girl on his phone. Agents then seized the phone from Pratt, telling him they would be getting a search warrant for the phone. Pratt did not consent to the seizure of the phone and the FBI didn’t get a warrant to search the phone until March 4, 2016, a full 31 days after seizing it. When they finally searched the phone, they found nude images of the juvenile and incriminating text messages with the juvenile and others.</w:t>
      </w:r>
      <w:r w:rsidR="002F3E35">
        <w:rPr>
          <w:sz w:val="22"/>
        </w:rPr>
        <w:t xml:space="preserve"> At the suppression hearing the government stated that the delay in getting the search warrant came from the need to decide whether to seek a warrant in North Carolina or South Carolina. The district court denied the suppression motion, finding the seizure justified and the delay in obtaining a search warrant reasonable.  The </w:t>
      </w:r>
      <w:r w:rsidR="00360A62">
        <w:rPr>
          <w:sz w:val="22"/>
        </w:rPr>
        <w:t>4</w:t>
      </w:r>
      <w:r w:rsidR="00360A62" w:rsidRPr="00360A62">
        <w:rPr>
          <w:sz w:val="22"/>
          <w:vertAlign w:val="superscript"/>
        </w:rPr>
        <w:t>th</w:t>
      </w:r>
      <w:r w:rsidR="00360A62">
        <w:rPr>
          <w:sz w:val="22"/>
        </w:rPr>
        <w:t xml:space="preserve"> Circuit </w:t>
      </w:r>
      <w:r w:rsidR="005768C3">
        <w:rPr>
          <w:sz w:val="22"/>
        </w:rPr>
        <w:t xml:space="preserve">reversed the trial court’s ruling, </w:t>
      </w:r>
      <w:r w:rsidR="002F3E35">
        <w:rPr>
          <w:sz w:val="22"/>
        </w:rPr>
        <w:t>determin</w:t>
      </w:r>
      <w:r w:rsidR="005768C3">
        <w:rPr>
          <w:sz w:val="22"/>
        </w:rPr>
        <w:t>ing that</w:t>
      </w:r>
      <w:r w:rsidR="002F3E35">
        <w:rPr>
          <w:sz w:val="22"/>
        </w:rPr>
        <w:t xml:space="preserve"> the government’s reason </w:t>
      </w:r>
      <w:r w:rsidR="00360A62">
        <w:rPr>
          <w:sz w:val="22"/>
        </w:rPr>
        <w:t>for the delay</w:t>
      </w:r>
      <w:r w:rsidR="005768C3">
        <w:rPr>
          <w:sz w:val="22"/>
        </w:rPr>
        <w:t xml:space="preserve"> was</w:t>
      </w:r>
      <w:r w:rsidR="002F3E35">
        <w:rPr>
          <w:sz w:val="22"/>
        </w:rPr>
        <w:t xml:space="preserve"> insufficient to justify the extended seizure of Pratt’s phone</w:t>
      </w:r>
      <w:r w:rsidR="005768C3">
        <w:rPr>
          <w:sz w:val="22"/>
        </w:rPr>
        <w:t>. They</w:t>
      </w:r>
      <w:r w:rsidR="00360A62">
        <w:rPr>
          <w:sz w:val="22"/>
        </w:rPr>
        <w:t xml:space="preserve"> further denied the government’s alternative argument that it could retain the phone indefinitely because it had independent evidentiary value, like a murder weapon, </w:t>
      </w:r>
      <w:r w:rsidR="006037E2">
        <w:rPr>
          <w:sz w:val="22"/>
        </w:rPr>
        <w:t>finding</w:t>
      </w:r>
      <w:r w:rsidR="00360A62">
        <w:rPr>
          <w:sz w:val="22"/>
        </w:rPr>
        <w:t xml:space="preserve"> that only the phone’s files had evidentiary value not the phone itself. </w:t>
      </w:r>
    </w:p>
    <w:p w14:paraId="0C856302" w14:textId="2E3B3885" w:rsidR="002F3E35" w:rsidRDefault="00273C32" w:rsidP="004C4976">
      <w:pPr>
        <w:spacing w:line="480" w:lineRule="auto"/>
        <w:jc w:val="both"/>
        <w:rPr>
          <w:sz w:val="22"/>
        </w:rPr>
      </w:pPr>
      <w:r>
        <w:rPr>
          <w:sz w:val="22"/>
        </w:rPr>
        <w:tab/>
      </w:r>
      <w:r w:rsidR="002F3E35">
        <w:rPr>
          <w:sz w:val="22"/>
        </w:rPr>
        <w:t xml:space="preserve">Similarly, in </w:t>
      </w:r>
      <w:r w:rsidR="002F3E35">
        <w:rPr>
          <w:i/>
          <w:iCs/>
          <w:sz w:val="22"/>
        </w:rPr>
        <w:t>United States v. Mitchell</w:t>
      </w:r>
      <w:r w:rsidR="002F3E35">
        <w:rPr>
          <w:sz w:val="22"/>
        </w:rPr>
        <w:t>, 565 F.3d 1347 (11</w:t>
      </w:r>
      <w:r w:rsidR="002F3E35" w:rsidRPr="002F3E35">
        <w:rPr>
          <w:sz w:val="22"/>
          <w:vertAlign w:val="superscript"/>
        </w:rPr>
        <w:t>th</w:t>
      </w:r>
      <w:r w:rsidR="002F3E35">
        <w:rPr>
          <w:sz w:val="22"/>
        </w:rPr>
        <w:t xml:space="preserve"> Cir. 2009) the Eleventh Circuit found the seizure of evidence contained in </w:t>
      </w:r>
      <w:r w:rsidR="005768C3">
        <w:rPr>
          <w:sz w:val="22"/>
        </w:rPr>
        <w:t>Mitchell’s</w:t>
      </w:r>
      <w:r w:rsidR="002F3E35">
        <w:rPr>
          <w:sz w:val="22"/>
        </w:rPr>
        <w:t xml:space="preserve"> computer </w:t>
      </w:r>
      <w:r w:rsidR="005768C3">
        <w:rPr>
          <w:sz w:val="22"/>
        </w:rPr>
        <w:t>violated Mitchell</w:t>
      </w:r>
      <w:r w:rsidR="00BA7979">
        <w:rPr>
          <w:sz w:val="22"/>
        </w:rPr>
        <w:t>’s</w:t>
      </w:r>
      <w:r w:rsidR="00BD3726">
        <w:rPr>
          <w:sz w:val="22"/>
        </w:rPr>
        <w:t xml:space="preserve"> 4</w:t>
      </w:r>
      <w:r w:rsidR="00BD3726" w:rsidRPr="00BD3726">
        <w:rPr>
          <w:sz w:val="22"/>
          <w:vertAlign w:val="superscript"/>
        </w:rPr>
        <w:t>th</w:t>
      </w:r>
      <w:r w:rsidR="00BD3726">
        <w:rPr>
          <w:sz w:val="22"/>
        </w:rPr>
        <w:t xml:space="preserve"> Amendment </w:t>
      </w:r>
      <w:r w:rsidR="00BA7979">
        <w:rPr>
          <w:sz w:val="22"/>
        </w:rPr>
        <w:t>rights when</w:t>
      </w:r>
      <w:r w:rsidR="00BD3726">
        <w:rPr>
          <w:sz w:val="22"/>
        </w:rPr>
        <w:t xml:space="preserve"> </w:t>
      </w:r>
      <w:r w:rsidR="002F3E35">
        <w:rPr>
          <w:sz w:val="22"/>
        </w:rPr>
        <w:t>officers wait</w:t>
      </w:r>
      <w:r w:rsidR="00BD3726">
        <w:rPr>
          <w:sz w:val="22"/>
        </w:rPr>
        <w:t>ed</w:t>
      </w:r>
      <w:r w:rsidR="002F3E35">
        <w:rPr>
          <w:sz w:val="22"/>
        </w:rPr>
        <w:t xml:space="preserve"> 21 days</w:t>
      </w:r>
      <w:r w:rsidR="00BA7979">
        <w:rPr>
          <w:sz w:val="22"/>
        </w:rPr>
        <w:t xml:space="preserve"> after seizing the computer</w:t>
      </w:r>
      <w:r w:rsidR="002F3E35">
        <w:rPr>
          <w:sz w:val="22"/>
        </w:rPr>
        <w:t xml:space="preserve"> to obtain a search warrant</w:t>
      </w:r>
      <w:r w:rsidR="00BD3726">
        <w:rPr>
          <w:sz w:val="22"/>
        </w:rPr>
        <w:t>. In that case</w:t>
      </w:r>
      <w:r w:rsidR="008145DD">
        <w:rPr>
          <w:sz w:val="22"/>
        </w:rPr>
        <w:t xml:space="preserve">, Mitchell was identified as a possible target in a distributing and receiving child pornography </w:t>
      </w:r>
      <w:r w:rsidR="006037E2">
        <w:rPr>
          <w:sz w:val="22"/>
        </w:rPr>
        <w:t>investigation</w:t>
      </w:r>
      <w:r w:rsidR="008145DD">
        <w:rPr>
          <w:sz w:val="22"/>
        </w:rPr>
        <w:t xml:space="preserve">. While officers were speaking to Mitchell at his home, Mitchell admitted that he had </w:t>
      </w:r>
      <w:r w:rsidR="008145DD">
        <w:rPr>
          <w:sz w:val="22"/>
        </w:rPr>
        <w:lastRenderedPageBreak/>
        <w:t>purchased subscriptions to pornography websites and that the computers</w:t>
      </w:r>
      <w:r w:rsidR="008235DC">
        <w:rPr>
          <w:sz w:val="22"/>
        </w:rPr>
        <w:t xml:space="preserve"> in his house</w:t>
      </w:r>
      <w:r w:rsidR="008145DD">
        <w:rPr>
          <w:sz w:val="22"/>
        </w:rPr>
        <w:t xml:space="preserve"> probabl</w:t>
      </w:r>
      <w:r w:rsidR="008235DC">
        <w:rPr>
          <w:sz w:val="22"/>
        </w:rPr>
        <w:t>y</w:t>
      </w:r>
      <w:r w:rsidR="008145DD">
        <w:rPr>
          <w:sz w:val="22"/>
        </w:rPr>
        <w:t xml:space="preserve"> contained illegal contraband and child pornography. Officers seized the computers but did not obtain a search warrant for the computers until 21 days later.</w:t>
      </w:r>
      <w:r w:rsidR="00BD3726">
        <w:rPr>
          <w:sz w:val="22"/>
        </w:rPr>
        <w:t xml:space="preserve"> </w:t>
      </w:r>
      <w:r w:rsidR="008145DD">
        <w:rPr>
          <w:sz w:val="22"/>
        </w:rPr>
        <w:t>T</w:t>
      </w:r>
      <w:r w:rsidR="00BD3726">
        <w:rPr>
          <w:sz w:val="22"/>
        </w:rPr>
        <w:t xml:space="preserve">he officer’s reason for the delay was </w:t>
      </w:r>
      <w:r w:rsidR="008145DD">
        <w:rPr>
          <w:sz w:val="22"/>
        </w:rPr>
        <w:t>because he left for a training class</w:t>
      </w:r>
      <w:r w:rsidR="00AB322D">
        <w:rPr>
          <w:sz w:val="22"/>
        </w:rPr>
        <w:t>.</w:t>
      </w:r>
      <w:r w:rsidR="008235DC">
        <w:rPr>
          <w:sz w:val="22"/>
        </w:rPr>
        <w:t xml:space="preserve"> </w:t>
      </w:r>
      <w:r w:rsidR="00AB322D">
        <w:rPr>
          <w:sz w:val="22"/>
        </w:rPr>
        <w:t>H</w:t>
      </w:r>
      <w:r w:rsidR="008235DC">
        <w:rPr>
          <w:sz w:val="22"/>
        </w:rPr>
        <w:t>e</w:t>
      </w:r>
      <w:r w:rsidR="00AB322D">
        <w:rPr>
          <w:sz w:val="22"/>
        </w:rPr>
        <w:t xml:space="preserve"> further stated to the court that he</w:t>
      </w:r>
      <w:r w:rsidR="008145DD">
        <w:rPr>
          <w:sz w:val="22"/>
        </w:rPr>
        <w:t xml:space="preserve"> didn’t</w:t>
      </w:r>
      <w:r w:rsidR="00BA7979">
        <w:rPr>
          <w:sz w:val="22"/>
        </w:rPr>
        <w:t xml:space="preserve"> see the need to</w:t>
      </w:r>
      <w:r w:rsidR="008145DD">
        <w:rPr>
          <w:sz w:val="22"/>
        </w:rPr>
        <w:t xml:space="preserve"> have someone else get the search warrant </w:t>
      </w:r>
      <w:r w:rsidR="00BD3726">
        <w:rPr>
          <w:sz w:val="22"/>
        </w:rPr>
        <w:t xml:space="preserve">because </w:t>
      </w:r>
      <w:r w:rsidR="008145DD">
        <w:rPr>
          <w:sz w:val="22"/>
        </w:rPr>
        <w:t>he</w:t>
      </w:r>
      <w:r w:rsidR="00BD3726">
        <w:rPr>
          <w:sz w:val="22"/>
        </w:rPr>
        <w:t xml:space="preserve"> didn’t think there was any urgency </w:t>
      </w:r>
      <w:r w:rsidR="00BA7979">
        <w:rPr>
          <w:sz w:val="22"/>
        </w:rPr>
        <w:t>to obtain</w:t>
      </w:r>
      <w:r w:rsidR="00BD3726">
        <w:rPr>
          <w:sz w:val="22"/>
        </w:rPr>
        <w:t xml:space="preserve"> a warrant</w:t>
      </w:r>
      <w:r w:rsidR="008145DD">
        <w:rPr>
          <w:sz w:val="22"/>
        </w:rPr>
        <w:t xml:space="preserve"> since Mitchell </w:t>
      </w:r>
      <w:r w:rsidR="00BA7979">
        <w:rPr>
          <w:sz w:val="22"/>
        </w:rPr>
        <w:t xml:space="preserve">had already </w:t>
      </w:r>
      <w:r w:rsidR="008145DD">
        <w:rPr>
          <w:sz w:val="22"/>
        </w:rPr>
        <w:t>admitted there was child pornography on the computer</w:t>
      </w:r>
      <w:r w:rsidR="00BD3726">
        <w:rPr>
          <w:sz w:val="22"/>
        </w:rPr>
        <w:t>.</w:t>
      </w:r>
      <w:r w:rsidR="008145DD">
        <w:rPr>
          <w:sz w:val="22"/>
        </w:rPr>
        <w:t xml:space="preserve"> The </w:t>
      </w:r>
      <w:r w:rsidR="008145DD">
        <w:rPr>
          <w:i/>
          <w:iCs/>
          <w:sz w:val="22"/>
        </w:rPr>
        <w:t>Mitchell</w:t>
      </w:r>
      <w:r w:rsidR="008145DD">
        <w:rPr>
          <w:sz w:val="22"/>
        </w:rPr>
        <w:t xml:space="preserve"> court determined that computers are relied upon heavily for personal and business use and contain countless items of a personal nature in electronic form on their hard drives. As such, the detention of the hard drive for over three weeks before a warrant was sought constituted a significant interference with Mitchell’s possessory interest and that interference was not eliminated by admissions Mitchell made </w:t>
      </w:r>
      <w:r w:rsidR="00AB322D">
        <w:rPr>
          <w:sz w:val="22"/>
        </w:rPr>
        <w:t>providing</w:t>
      </w:r>
      <w:r w:rsidR="008145DD">
        <w:rPr>
          <w:sz w:val="22"/>
        </w:rPr>
        <w:t xml:space="preserve"> probable cause for the seizure. As such, the contents of the computer were obtained in violation of Mitchell’s constitutional rights and should have been suppressed</w:t>
      </w:r>
      <w:r w:rsidR="008235DC">
        <w:rPr>
          <w:sz w:val="22"/>
        </w:rPr>
        <w:t xml:space="preserve"> at trial</w:t>
      </w:r>
      <w:r w:rsidR="008145DD">
        <w:rPr>
          <w:sz w:val="22"/>
        </w:rPr>
        <w:t>.</w:t>
      </w:r>
      <w:r w:rsidR="00360A62">
        <w:rPr>
          <w:sz w:val="22"/>
        </w:rPr>
        <w:t xml:space="preserve"> </w:t>
      </w:r>
    </w:p>
    <w:p w14:paraId="5F30C6C2" w14:textId="73690DB8" w:rsidR="00BD3726" w:rsidRPr="00360A62" w:rsidRDefault="00BD3726" w:rsidP="004C4976">
      <w:pPr>
        <w:spacing w:line="480" w:lineRule="auto"/>
        <w:jc w:val="both"/>
        <w:rPr>
          <w:sz w:val="22"/>
        </w:rPr>
      </w:pPr>
      <w:r>
        <w:rPr>
          <w:sz w:val="22"/>
        </w:rPr>
        <w:tab/>
        <w:t xml:space="preserve">The case at hand is similar to both </w:t>
      </w:r>
      <w:r>
        <w:rPr>
          <w:i/>
          <w:iCs/>
          <w:sz w:val="22"/>
        </w:rPr>
        <w:t>Pratt</w:t>
      </w:r>
      <w:r>
        <w:rPr>
          <w:sz w:val="22"/>
        </w:rPr>
        <w:t xml:space="preserve"> and </w:t>
      </w:r>
      <w:r>
        <w:rPr>
          <w:i/>
          <w:iCs/>
          <w:sz w:val="22"/>
        </w:rPr>
        <w:t>Mitchell</w:t>
      </w:r>
      <w:r>
        <w:rPr>
          <w:sz w:val="22"/>
        </w:rPr>
        <w:t xml:space="preserve">, except in this case the State waited </w:t>
      </w:r>
      <w:r w:rsidR="00265BD3">
        <w:rPr>
          <w:sz w:val="22"/>
        </w:rPr>
        <w:t>567 days from the time the phone was seized to the time law enforcement obtained the search warrant for the evidence found in Mr. White’s phone</w:t>
      </w:r>
      <w:r>
        <w:rPr>
          <w:sz w:val="22"/>
        </w:rPr>
        <w:t xml:space="preserve">. </w:t>
      </w:r>
      <w:r w:rsidR="00E80421">
        <w:rPr>
          <w:sz w:val="22"/>
        </w:rPr>
        <w:t xml:space="preserve">As in </w:t>
      </w:r>
      <w:r w:rsidR="00E80421">
        <w:rPr>
          <w:i/>
          <w:iCs/>
          <w:sz w:val="22"/>
        </w:rPr>
        <w:t xml:space="preserve">Pratt </w:t>
      </w:r>
      <w:r w:rsidR="00E80421">
        <w:rPr>
          <w:sz w:val="22"/>
        </w:rPr>
        <w:t xml:space="preserve">and </w:t>
      </w:r>
      <w:r w:rsidR="00E80421">
        <w:rPr>
          <w:i/>
          <w:iCs/>
          <w:sz w:val="22"/>
        </w:rPr>
        <w:t xml:space="preserve">Mitchell, </w:t>
      </w:r>
      <w:r w:rsidR="00E80421">
        <w:rPr>
          <w:sz w:val="22"/>
        </w:rPr>
        <w:t>t</w:t>
      </w:r>
      <w:r>
        <w:rPr>
          <w:sz w:val="22"/>
        </w:rPr>
        <w:t xml:space="preserve">here is no persuasive justification that can be given by the State as to the delay in obtaining </w:t>
      </w:r>
      <w:r w:rsidR="00265BD3">
        <w:rPr>
          <w:sz w:val="22"/>
        </w:rPr>
        <w:t>the</w:t>
      </w:r>
      <w:r>
        <w:rPr>
          <w:sz w:val="22"/>
        </w:rPr>
        <w:t xml:space="preserve"> search warrant</w:t>
      </w:r>
      <w:r w:rsidR="00265BD3">
        <w:rPr>
          <w:sz w:val="22"/>
        </w:rPr>
        <w:t>s</w:t>
      </w:r>
      <w:r>
        <w:rPr>
          <w:sz w:val="22"/>
        </w:rPr>
        <w:t xml:space="preserve"> for </w:t>
      </w:r>
      <w:r w:rsidR="00AB322D">
        <w:rPr>
          <w:sz w:val="22"/>
        </w:rPr>
        <w:t>the</w:t>
      </w:r>
      <w:r>
        <w:rPr>
          <w:sz w:val="22"/>
        </w:rPr>
        <w:t xml:space="preserve"> phone.  </w:t>
      </w:r>
      <w:r w:rsidR="006F689F">
        <w:rPr>
          <w:sz w:val="22"/>
        </w:rPr>
        <w:t>Mr. White maintained an</w:t>
      </w:r>
      <w:r>
        <w:rPr>
          <w:sz w:val="22"/>
        </w:rPr>
        <w:t xml:space="preserve"> undiminished and strong privacy interest in the cellphone, </w:t>
      </w:r>
      <w:r w:rsidR="006F689F">
        <w:rPr>
          <w:sz w:val="22"/>
        </w:rPr>
        <w:t>despite being detained</w:t>
      </w:r>
      <w:r w:rsidR="008C470E">
        <w:rPr>
          <w:sz w:val="22"/>
        </w:rPr>
        <w:t>,</w:t>
      </w:r>
      <w:r w:rsidR="006F689F">
        <w:rPr>
          <w:sz w:val="22"/>
        </w:rPr>
        <w:t xml:space="preserve"> and therefore law enforcement was required to obtain a search warrant for the cell phone within a reasonable amount of time from the date of the seizure. A</w:t>
      </w:r>
      <w:r>
        <w:rPr>
          <w:sz w:val="22"/>
        </w:rPr>
        <w:t xml:space="preserve"> 210 day delay </w:t>
      </w:r>
      <w:r w:rsidR="006F689F">
        <w:rPr>
          <w:sz w:val="22"/>
        </w:rPr>
        <w:t>on the first warrant</w:t>
      </w:r>
      <w:r w:rsidR="00265BD3">
        <w:rPr>
          <w:sz w:val="22"/>
        </w:rPr>
        <w:t>, which resulted in negative findings,</w:t>
      </w:r>
      <w:r w:rsidR="006F689F">
        <w:rPr>
          <w:sz w:val="22"/>
        </w:rPr>
        <w:t xml:space="preserve"> and a</w:t>
      </w:r>
      <w:r>
        <w:rPr>
          <w:sz w:val="22"/>
        </w:rPr>
        <w:t xml:space="preserve"> 567 day delay</w:t>
      </w:r>
      <w:r w:rsidR="006F689F">
        <w:rPr>
          <w:sz w:val="22"/>
        </w:rPr>
        <w:t xml:space="preserve"> on the second warrant</w:t>
      </w:r>
      <w:r w:rsidR="00360A62">
        <w:rPr>
          <w:sz w:val="22"/>
        </w:rPr>
        <w:t>,</w:t>
      </w:r>
      <w:r w:rsidR="006F689F">
        <w:rPr>
          <w:sz w:val="22"/>
        </w:rPr>
        <w:t xml:space="preserve"> clearly</w:t>
      </w:r>
      <w:r w:rsidR="00360A62">
        <w:rPr>
          <w:sz w:val="22"/>
        </w:rPr>
        <w:t xml:space="preserve"> </w:t>
      </w:r>
      <w:r w:rsidR="00AB322D">
        <w:rPr>
          <w:sz w:val="22"/>
        </w:rPr>
        <w:t>infringes upon</w:t>
      </w:r>
      <w:r w:rsidR="00360A62">
        <w:rPr>
          <w:sz w:val="22"/>
        </w:rPr>
        <w:t xml:space="preserve"> </w:t>
      </w:r>
      <w:r w:rsidR="006F689F">
        <w:rPr>
          <w:sz w:val="22"/>
        </w:rPr>
        <w:t>Mr. White’s</w:t>
      </w:r>
      <w:r w:rsidR="00AB322D">
        <w:rPr>
          <w:sz w:val="22"/>
        </w:rPr>
        <w:t xml:space="preserve"> possessory interest and violates his</w:t>
      </w:r>
      <w:r w:rsidR="00E80421">
        <w:rPr>
          <w:sz w:val="22"/>
        </w:rPr>
        <w:t xml:space="preserve"> Fourth Amendment right against the unreasonable search and seizure of his property</w:t>
      </w:r>
      <w:r w:rsidR="008C470E">
        <w:rPr>
          <w:sz w:val="22"/>
        </w:rPr>
        <w:t xml:space="preserve">. Here, </w:t>
      </w:r>
      <w:r w:rsidR="00AB322D">
        <w:rPr>
          <w:sz w:val="22"/>
        </w:rPr>
        <w:t xml:space="preserve">as in </w:t>
      </w:r>
      <w:r w:rsidR="00AB322D">
        <w:rPr>
          <w:i/>
          <w:iCs/>
          <w:sz w:val="22"/>
        </w:rPr>
        <w:t xml:space="preserve">Pratt </w:t>
      </w:r>
      <w:r w:rsidR="00AB322D">
        <w:rPr>
          <w:sz w:val="22"/>
        </w:rPr>
        <w:t xml:space="preserve">and </w:t>
      </w:r>
      <w:r w:rsidR="00AB322D">
        <w:rPr>
          <w:i/>
          <w:iCs/>
          <w:sz w:val="22"/>
        </w:rPr>
        <w:t xml:space="preserve">Mitchell, </w:t>
      </w:r>
      <w:r w:rsidR="008C470E">
        <w:rPr>
          <w:sz w:val="22"/>
        </w:rPr>
        <w:t>law enforcement did not</w:t>
      </w:r>
      <w:r w:rsidR="00360A62">
        <w:rPr>
          <w:sz w:val="22"/>
        </w:rPr>
        <w:t xml:space="preserve"> proceed diligently</w:t>
      </w:r>
      <w:r w:rsidR="00613595">
        <w:rPr>
          <w:sz w:val="22"/>
        </w:rPr>
        <w:t xml:space="preserve"> in obtaining </w:t>
      </w:r>
      <w:r w:rsidR="00AB322D">
        <w:rPr>
          <w:sz w:val="22"/>
        </w:rPr>
        <w:t>these</w:t>
      </w:r>
      <w:r w:rsidR="00613595">
        <w:rPr>
          <w:sz w:val="22"/>
        </w:rPr>
        <w:t xml:space="preserve"> search warrant</w:t>
      </w:r>
      <w:r w:rsidR="00AB322D">
        <w:rPr>
          <w:sz w:val="22"/>
        </w:rPr>
        <w:t>s</w:t>
      </w:r>
      <w:r w:rsidR="00360A62">
        <w:rPr>
          <w:sz w:val="22"/>
        </w:rPr>
        <w:t xml:space="preserve"> </w:t>
      </w:r>
      <w:r w:rsidR="008C470E">
        <w:rPr>
          <w:sz w:val="22"/>
        </w:rPr>
        <w:t>and cannot</w:t>
      </w:r>
      <w:r w:rsidR="00360A62">
        <w:rPr>
          <w:sz w:val="22"/>
        </w:rPr>
        <w:t xml:space="preserve"> present an overriding reason for the</w:t>
      </w:r>
      <w:r w:rsidR="00613595">
        <w:rPr>
          <w:sz w:val="22"/>
        </w:rPr>
        <w:t>ir</w:t>
      </w:r>
      <w:r w:rsidR="00360A62">
        <w:rPr>
          <w:sz w:val="22"/>
        </w:rPr>
        <w:t xml:space="preserve"> delay. </w:t>
      </w:r>
      <w:r w:rsidR="006F689F">
        <w:rPr>
          <w:sz w:val="22"/>
        </w:rPr>
        <w:t>As such, the</w:t>
      </w:r>
      <w:r w:rsidR="008C470E">
        <w:rPr>
          <w:sz w:val="22"/>
        </w:rPr>
        <w:t xml:space="preserve"> </w:t>
      </w:r>
      <w:r w:rsidR="00613595">
        <w:rPr>
          <w:sz w:val="22"/>
        </w:rPr>
        <w:t>search</w:t>
      </w:r>
      <w:r w:rsidR="006F689F">
        <w:rPr>
          <w:sz w:val="22"/>
        </w:rPr>
        <w:t xml:space="preserve"> of</w:t>
      </w:r>
      <w:r w:rsidR="00613595">
        <w:rPr>
          <w:sz w:val="22"/>
        </w:rPr>
        <w:t xml:space="preserve"> Mr. White’s</w:t>
      </w:r>
      <w:r w:rsidR="006F689F">
        <w:rPr>
          <w:sz w:val="22"/>
        </w:rPr>
        <w:t xml:space="preserve"> cell phone </w:t>
      </w:r>
      <w:r w:rsidR="008C470E">
        <w:rPr>
          <w:sz w:val="22"/>
        </w:rPr>
        <w:t>was</w:t>
      </w:r>
      <w:r w:rsidR="006F689F">
        <w:rPr>
          <w:sz w:val="22"/>
        </w:rPr>
        <w:t xml:space="preserve"> unconstitutional and </w:t>
      </w:r>
      <w:r w:rsidR="008C470E">
        <w:rPr>
          <w:sz w:val="22"/>
        </w:rPr>
        <w:t xml:space="preserve">all evidence obtained from the </w:t>
      </w:r>
      <w:r w:rsidR="00613595">
        <w:rPr>
          <w:sz w:val="22"/>
        </w:rPr>
        <w:t xml:space="preserve">search of the </w:t>
      </w:r>
      <w:r w:rsidR="008C470E">
        <w:rPr>
          <w:sz w:val="22"/>
        </w:rPr>
        <w:t>cell phone</w:t>
      </w:r>
      <w:r w:rsidR="00AB322D">
        <w:rPr>
          <w:sz w:val="22"/>
        </w:rPr>
        <w:t xml:space="preserve"> </w:t>
      </w:r>
      <w:r w:rsidR="006F689F">
        <w:rPr>
          <w:sz w:val="22"/>
        </w:rPr>
        <w:t>should be suppressed.</w:t>
      </w:r>
    </w:p>
    <w:p w14:paraId="3F215668" w14:textId="78D9C6D9" w:rsidR="005416AC" w:rsidRDefault="0049230E" w:rsidP="005416AC">
      <w:pPr>
        <w:spacing w:line="480" w:lineRule="auto"/>
        <w:jc w:val="center"/>
        <w:rPr>
          <w:sz w:val="22"/>
        </w:rPr>
      </w:pPr>
      <w:r>
        <w:rPr>
          <w:sz w:val="22"/>
          <w:u w:val="single"/>
        </w:rPr>
        <w:lastRenderedPageBreak/>
        <w:t>CONCLUSION</w:t>
      </w:r>
    </w:p>
    <w:p w14:paraId="07FA539D" w14:textId="7F991816" w:rsidR="007C3188" w:rsidRDefault="0049230E" w:rsidP="00B16E49">
      <w:pPr>
        <w:spacing w:line="480" w:lineRule="auto"/>
        <w:jc w:val="both"/>
        <w:rPr>
          <w:sz w:val="22"/>
        </w:rPr>
      </w:pPr>
      <w:r>
        <w:rPr>
          <w:sz w:val="22"/>
        </w:rPr>
        <w:tab/>
      </w:r>
      <w:r w:rsidR="00453A96">
        <w:rPr>
          <w:sz w:val="22"/>
        </w:rPr>
        <w:t>The</w:t>
      </w:r>
      <w:r w:rsidR="00613595">
        <w:rPr>
          <w:sz w:val="22"/>
        </w:rPr>
        <w:t xml:space="preserve"> </w:t>
      </w:r>
      <w:r w:rsidR="008A1D96">
        <w:rPr>
          <w:sz w:val="22"/>
        </w:rPr>
        <w:t>567-day</w:t>
      </w:r>
      <w:r w:rsidR="00613595">
        <w:rPr>
          <w:sz w:val="22"/>
        </w:rPr>
        <w:t xml:space="preserve"> delay in </w:t>
      </w:r>
      <w:r w:rsidR="008A1D96">
        <w:rPr>
          <w:sz w:val="22"/>
        </w:rPr>
        <w:t xml:space="preserve">law enforcement </w:t>
      </w:r>
      <w:r w:rsidR="00613595">
        <w:rPr>
          <w:sz w:val="22"/>
        </w:rPr>
        <w:t>obtaining a</w:t>
      </w:r>
      <w:r w:rsidR="00453A96">
        <w:rPr>
          <w:sz w:val="22"/>
        </w:rPr>
        <w:t xml:space="preserve"> search</w:t>
      </w:r>
      <w:r w:rsidR="00613595">
        <w:rPr>
          <w:sz w:val="22"/>
        </w:rPr>
        <w:t xml:space="preserve"> warrant for</w:t>
      </w:r>
      <w:r w:rsidR="00453A96">
        <w:rPr>
          <w:sz w:val="22"/>
        </w:rPr>
        <w:t xml:space="preserve"> Devante White’s cell phone </w:t>
      </w:r>
      <w:r w:rsidR="008A1D96">
        <w:rPr>
          <w:sz w:val="22"/>
        </w:rPr>
        <w:t xml:space="preserve">was unreasonable and without sufficient justification. The prolonged seizure of the cell phone </w:t>
      </w:r>
      <w:r w:rsidR="00613595">
        <w:rPr>
          <w:sz w:val="22"/>
        </w:rPr>
        <w:t>infring</w:t>
      </w:r>
      <w:r w:rsidR="008A1D96">
        <w:rPr>
          <w:sz w:val="22"/>
        </w:rPr>
        <w:t>ed</w:t>
      </w:r>
      <w:r w:rsidR="00613595">
        <w:rPr>
          <w:sz w:val="22"/>
        </w:rPr>
        <w:t xml:space="preserve"> upon Mr. White’s possessory interest</w:t>
      </w:r>
      <w:r w:rsidR="008A1D96">
        <w:rPr>
          <w:sz w:val="22"/>
        </w:rPr>
        <w:t xml:space="preserve"> and </w:t>
      </w:r>
      <w:r w:rsidR="00613595">
        <w:rPr>
          <w:sz w:val="22"/>
        </w:rPr>
        <w:t>result</w:t>
      </w:r>
      <w:r w:rsidR="008A1D96">
        <w:rPr>
          <w:sz w:val="22"/>
        </w:rPr>
        <w:t>ed</w:t>
      </w:r>
      <w:r w:rsidR="00613595">
        <w:rPr>
          <w:sz w:val="22"/>
        </w:rPr>
        <w:t xml:space="preserve"> in</w:t>
      </w:r>
      <w:r w:rsidR="00453A96">
        <w:rPr>
          <w:sz w:val="22"/>
        </w:rPr>
        <w:t xml:space="preserve"> an unconstitutional violation of Mr. White’s Fourth Amendment rights. Accordingly, any and all </w:t>
      </w:r>
      <w:r w:rsidR="00613595">
        <w:rPr>
          <w:sz w:val="22"/>
        </w:rPr>
        <w:t>evidence</w:t>
      </w:r>
      <w:r w:rsidR="00453A96">
        <w:rPr>
          <w:sz w:val="22"/>
        </w:rPr>
        <w:t xml:space="preserve"> seized pursuant to </w:t>
      </w:r>
      <w:r w:rsidR="008A1D96">
        <w:rPr>
          <w:sz w:val="22"/>
        </w:rPr>
        <w:t xml:space="preserve">law enforcement’s delayed </w:t>
      </w:r>
      <w:r w:rsidR="00453A96">
        <w:rPr>
          <w:sz w:val="22"/>
        </w:rPr>
        <w:t>search</w:t>
      </w:r>
      <w:r w:rsidR="008A1D96">
        <w:rPr>
          <w:sz w:val="22"/>
        </w:rPr>
        <w:t xml:space="preserve"> of the cell phone</w:t>
      </w:r>
      <w:r w:rsidR="00613595">
        <w:rPr>
          <w:sz w:val="22"/>
        </w:rPr>
        <w:t xml:space="preserve"> is inadmissible and</w:t>
      </w:r>
      <w:r w:rsidR="00453A96">
        <w:rPr>
          <w:sz w:val="22"/>
        </w:rPr>
        <w:t xml:space="preserve"> should be suppressed at trial.</w:t>
      </w:r>
    </w:p>
    <w:p w14:paraId="6A7C9944" w14:textId="77777777" w:rsidR="008619D3" w:rsidRDefault="008619D3" w:rsidP="0016715B">
      <w:pPr>
        <w:spacing w:line="480" w:lineRule="auto"/>
        <w:ind w:left="360" w:firstLine="360"/>
        <w:jc w:val="both"/>
        <w:rPr>
          <w:sz w:val="22"/>
        </w:rPr>
      </w:pPr>
    </w:p>
    <w:p w14:paraId="558A69CF" w14:textId="3F1D84CE" w:rsidR="008619D3" w:rsidRDefault="008619D3" w:rsidP="008619D3">
      <w:pPr>
        <w:spacing w:line="480" w:lineRule="auto"/>
        <w:ind w:left="5400" w:firstLine="360"/>
        <w:jc w:val="both"/>
        <w:rPr>
          <w:sz w:val="22"/>
        </w:rPr>
      </w:pPr>
      <w:r>
        <w:rPr>
          <w:sz w:val="22"/>
        </w:rPr>
        <w:t>Respectfully Submitted,</w:t>
      </w:r>
    </w:p>
    <w:p w14:paraId="19C1599C" w14:textId="04E2E0B4" w:rsidR="008619D3" w:rsidRDefault="008619D3" w:rsidP="0016715B">
      <w:pPr>
        <w:spacing w:line="480" w:lineRule="auto"/>
        <w:ind w:left="360" w:firstLine="360"/>
        <w:jc w:val="both"/>
        <w:rPr>
          <w:sz w:val="22"/>
        </w:rPr>
      </w:pPr>
      <w:r>
        <w:rPr>
          <w:sz w:val="22"/>
        </w:rPr>
        <w:tab/>
      </w:r>
      <w:r>
        <w:rPr>
          <w:sz w:val="22"/>
        </w:rPr>
        <w:tab/>
      </w:r>
      <w:r>
        <w:rPr>
          <w:sz w:val="22"/>
        </w:rPr>
        <w:tab/>
      </w:r>
      <w:r>
        <w:rPr>
          <w:sz w:val="22"/>
        </w:rPr>
        <w:tab/>
      </w:r>
      <w:r>
        <w:rPr>
          <w:sz w:val="22"/>
        </w:rPr>
        <w:tab/>
      </w:r>
      <w:r>
        <w:rPr>
          <w:sz w:val="22"/>
        </w:rPr>
        <w:tab/>
      </w:r>
      <w:r>
        <w:rPr>
          <w:sz w:val="22"/>
        </w:rPr>
        <w:tab/>
        <w:t>CORNWELL LAW FIRM, LLC</w:t>
      </w:r>
    </w:p>
    <w:p w14:paraId="634C9F70" w14:textId="0D8D878C" w:rsidR="0021784A" w:rsidRDefault="0021784A" w:rsidP="0021784A">
      <w:pPr>
        <w:spacing w:line="480" w:lineRule="auto"/>
        <w:ind w:left="360"/>
        <w:jc w:val="both"/>
        <w:rPr>
          <w:sz w:val="22"/>
        </w:rPr>
      </w:pPr>
    </w:p>
    <w:p w14:paraId="0995C301" w14:textId="3ABDABBD" w:rsidR="0021784A" w:rsidRDefault="0021784A"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00E85EB9">
        <w:rPr>
          <w:sz w:val="22"/>
        </w:rPr>
        <w:t>____________________________________________</w:t>
      </w:r>
    </w:p>
    <w:p w14:paraId="19723CD1" w14:textId="0406EB2D" w:rsidR="00231351" w:rsidRDefault="00231351"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r w:rsidR="008619D3">
        <w:rPr>
          <w:sz w:val="22"/>
        </w:rPr>
        <w:t>Ashley B. Cornwell, S.C. Bar No. 76577</w:t>
      </w:r>
    </w:p>
    <w:p w14:paraId="1878D852" w14:textId="22FB612A" w:rsidR="008619D3" w:rsidRDefault="008619D3"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1470 Ben Sawyer Blvd., Suite 14</w:t>
      </w:r>
    </w:p>
    <w:p w14:paraId="20CB4181" w14:textId="775C392C" w:rsidR="008619D3" w:rsidRDefault="008619D3"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Mount Pleasant, SC 29464</w:t>
      </w:r>
    </w:p>
    <w:p w14:paraId="280A452C" w14:textId="7623E4E3" w:rsidR="008619D3" w:rsidRDefault="008619D3"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843-595-6003</w:t>
      </w:r>
    </w:p>
    <w:p w14:paraId="5A10CEC6" w14:textId="495F7405" w:rsidR="008619D3" w:rsidRDefault="008619D3"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hyperlink r:id="rId8" w:history="1">
        <w:r w:rsidRPr="008D7EE1">
          <w:rPr>
            <w:rStyle w:val="Hyperlink"/>
            <w:sz w:val="22"/>
          </w:rPr>
          <w:t>acornwell@cornwellfirm.com</w:t>
        </w:r>
      </w:hyperlink>
    </w:p>
    <w:p w14:paraId="5B4789C8" w14:textId="5F3961F8" w:rsidR="008619D3" w:rsidRDefault="008619D3"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t>ATTORNEY FOR DEFENDANT</w:t>
      </w:r>
    </w:p>
    <w:p w14:paraId="0A75E413" w14:textId="6A664C40" w:rsidR="00F607EE" w:rsidRDefault="0016715B" w:rsidP="0016715B">
      <w:pPr>
        <w:ind w:left="360"/>
        <w:jc w:val="both"/>
        <w:rPr>
          <w:sz w:val="22"/>
        </w:rPr>
      </w:pPr>
      <w:r>
        <w:rPr>
          <w:sz w:val="22"/>
        </w:rPr>
        <w:tab/>
      </w:r>
      <w:r>
        <w:rPr>
          <w:sz w:val="22"/>
        </w:rPr>
        <w:tab/>
      </w:r>
      <w:r>
        <w:rPr>
          <w:sz w:val="22"/>
        </w:rPr>
        <w:tab/>
      </w:r>
      <w:r>
        <w:rPr>
          <w:sz w:val="22"/>
        </w:rPr>
        <w:tab/>
      </w:r>
      <w:r>
        <w:rPr>
          <w:sz w:val="22"/>
        </w:rPr>
        <w:tab/>
      </w:r>
      <w:r>
        <w:rPr>
          <w:sz w:val="22"/>
        </w:rPr>
        <w:tab/>
      </w:r>
      <w:r>
        <w:rPr>
          <w:sz w:val="22"/>
        </w:rPr>
        <w:tab/>
      </w:r>
      <w:r>
        <w:rPr>
          <w:sz w:val="22"/>
        </w:rPr>
        <w:tab/>
      </w:r>
    </w:p>
    <w:p w14:paraId="34E5C4C2" w14:textId="07160FCB" w:rsidR="00F607EE" w:rsidRDefault="008619D3" w:rsidP="0016715B">
      <w:pPr>
        <w:ind w:left="360"/>
        <w:jc w:val="both"/>
        <w:rPr>
          <w:sz w:val="22"/>
        </w:rPr>
      </w:pPr>
      <w:r>
        <w:rPr>
          <w:sz w:val="22"/>
        </w:rPr>
        <w:t>Mount Pleasant</w:t>
      </w:r>
      <w:r w:rsidR="00F607EE">
        <w:rPr>
          <w:sz w:val="22"/>
        </w:rPr>
        <w:t>, S</w:t>
      </w:r>
      <w:r w:rsidR="00E24CEB">
        <w:rPr>
          <w:sz w:val="22"/>
        </w:rPr>
        <w:t>outh Carolina</w:t>
      </w:r>
    </w:p>
    <w:p w14:paraId="41ABF0B9" w14:textId="274E2BE9" w:rsidR="00E24CEB" w:rsidRPr="0021784A" w:rsidRDefault="0077515A" w:rsidP="0016715B">
      <w:pPr>
        <w:ind w:left="360"/>
        <w:jc w:val="both"/>
        <w:rPr>
          <w:sz w:val="22"/>
        </w:rPr>
      </w:pPr>
      <w:r>
        <w:rPr>
          <w:sz w:val="22"/>
        </w:rPr>
        <w:t>December</w:t>
      </w:r>
      <w:r w:rsidR="00290EF8">
        <w:rPr>
          <w:sz w:val="22"/>
        </w:rPr>
        <w:t xml:space="preserve"> 12, 2022</w:t>
      </w:r>
    </w:p>
    <w:p w14:paraId="01B024B0" w14:textId="229B1D66" w:rsidR="00E506CF" w:rsidRDefault="005C3AF7" w:rsidP="00734D8B">
      <w:pPr>
        <w:jc w:val="both"/>
        <w:rPr>
          <w:sz w:val="22"/>
        </w:rPr>
      </w:pPr>
      <w:r>
        <w:rPr>
          <w:sz w:val="22"/>
        </w:rPr>
        <w:tab/>
      </w:r>
    </w:p>
    <w:p w14:paraId="43F35F72" w14:textId="77777777" w:rsidR="004A3E18" w:rsidRPr="004A3E18" w:rsidRDefault="004A3E18">
      <w:pPr>
        <w:rPr>
          <w:b/>
          <w:sz w:val="22"/>
        </w:rPr>
      </w:pPr>
    </w:p>
    <w:sectPr w:rsidR="004A3E18" w:rsidRPr="004A3E18" w:rsidSect="00613595">
      <w:footerReference w:type="default" r:id="rId9"/>
      <w:pgSz w:w="12240" w:h="15840"/>
      <w:pgMar w:top="1296" w:right="1440" w:bottom="720" w:left="144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D31F3" w14:textId="77777777" w:rsidR="00265BD3" w:rsidRDefault="00265BD3" w:rsidP="00265BD3">
      <w:r>
        <w:separator/>
      </w:r>
    </w:p>
  </w:endnote>
  <w:endnote w:type="continuationSeparator" w:id="0">
    <w:p w14:paraId="0688F011" w14:textId="77777777" w:rsidR="00265BD3" w:rsidRDefault="00265BD3" w:rsidP="00265B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7325813"/>
      <w:docPartObj>
        <w:docPartGallery w:val="Page Numbers (Bottom of Page)"/>
        <w:docPartUnique/>
      </w:docPartObj>
    </w:sdtPr>
    <w:sdtContent>
      <w:sdt>
        <w:sdtPr>
          <w:id w:val="1728636285"/>
          <w:docPartObj>
            <w:docPartGallery w:val="Page Numbers (Top of Page)"/>
            <w:docPartUnique/>
          </w:docPartObj>
        </w:sdtPr>
        <w:sdtContent>
          <w:p w14:paraId="434C65F2" w14:textId="101FF080" w:rsidR="00613595" w:rsidRDefault="00613595">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0C1137E6" w14:textId="77777777" w:rsidR="00613595" w:rsidRDefault="006135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8B7665" w14:textId="77777777" w:rsidR="00265BD3" w:rsidRDefault="00265BD3" w:rsidP="00265BD3">
      <w:r>
        <w:separator/>
      </w:r>
    </w:p>
  </w:footnote>
  <w:footnote w:type="continuationSeparator" w:id="0">
    <w:p w14:paraId="21F4596C" w14:textId="77777777" w:rsidR="00265BD3" w:rsidRDefault="00265BD3" w:rsidP="00265B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C6A21"/>
    <w:multiLevelType w:val="hybridMultilevel"/>
    <w:tmpl w:val="CFFA5C0E"/>
    <w:lvl w:ilvl="0" w:tplc="ECEE0C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55350"/>
    <w:multiLevelType w:val="hybridMultilevel"/>
    <w:tmpl w:val="4F4C6CFA"/>
    <w:lvl w:ilvl="0" w:tplc="5894ACBC">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5A305BD"/>
    <w:multiLevelType w:val="hybridMultilevel"/>
    <w:tmpl w:val="CB60C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D01A7B"/>
    <w:multiLevelType w:val="hybridMultilevel"/>
    <w:tmpl w:val="0FE04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15041711">
    <w:abstractNumId w:val="1"/>
  </w:num>
  <w:num w:numId="2" w16cid:durableId="1660108298">
    <w:abstractNumId w:val="2"/>
  </w:num>
  <w:num w:numId="3" w16cid:durableId="451439751">
    <w:abstractNumId w:val="3"/>
  </w:num>
  <w:num w:numId="4" w16cid:durableId="2095741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2D8"/>
    <w:rsid w:val="00066B69"/>
    <w:rsid w:val="000759CD"/>
    <w:rsid w:val="000809E3"/>
    <w:rsid w:val="00080D7B"/>
    <w:rsid w:val="000841CD"/>
    <w:rsid w:val="000B7FD7"/>
    <w:rsid w:val="000D5ECD"/>
    <w:rsid w:val="0016715B"/>
    <w:rsid w:val="00176936"/>
    <w:rsid w:val="00187121"/>
    <w:rsid w:val="001939CA"/>
    <w:rsid w:val="001A779D"/>
    <w:rsid w:val="001D4479"/>
    <w:rsid w:val="001E0E3E"/>
    <w:rsid w:val="0021784A"/>
    <w:rsid w:val="00231351"/>
    <w:rsid w:val="002335D7"/>
    <w:rsid w:val="00255FA9"/>
    <w:rsid w:val="002601B7"/>
    <w:rsid w:val="00265BD3"/>
    <w:rsid w:val="00272EF0"/>
    <w:rsid w:val="00273C32"/>
    <w:rsid w:val="00274141"/>
    <w:rsid w:val="00290EF8"/>
    <w:rsid w:val="00292398"/>
    <w:rsid w:val="002F3E35"/>
    <w:rsid w:val="003302D8"/>
    <w:rsid w:val="00353CD6"/>
    <w:rsid w:val="00360A62"/>
    <w:rsid w:val="003D4709"/>
    <w:rsid w:val="00401E86"/>
    <w:rsid w:val="00403DAF"/>
    <w:rsid w:val="00421251"/>
    <w:rsid w:val="00426625"/>
    <w:rsid w:val="00445887"/>
    <w:rsid w:val="00446C22"/>
    <w:rsid w:val="00453A96"/>
    <w:rsid w:val="0049230E"/>
    <w:rsid w:val="004A3E18"/>
    <w:rsid w:val="004C4976"/>
    <w:rsid w:val="004D5F7B"/>
    <w:rsid w:val="004E0102"/>
    <w:rsid w:val="00501811"/>
    <w:rsid w:val="00522473"/>
    <w:rsid w:val="005416AC"/>
    <w:rsid w:val="005453E9"/>
    <w:rsid w:val="00561B67"/>
    <w:rsid w:val="00567F6B"/>
    <w:rsid w:val="005768C3"/>
    <w:rsid w:val="005C03F8"/>
    <w:rsid w:val="005C3AF7"/>
    <w:rsid w:val="006037E2"/>
    <w:rsid w:val="00613595"/>
    <w:rsid w:val="006223F8"/>
    <w:rsid w:val="0069257F"/>
    <w:rsid w:val="006E7D69"/>
    <w:rsid w:val="006F689F"/>
    <w:rsid w:val="00734D8B"/>
    <w:rsid w:val="007408AE"/>
    <w:rsid w:val="007701A0"/>
    <w:rsid w:val="0077515A"/>
    <w:rsid w:val="00796887"/>
    <w:rsid w:val="007A45F9"/>
    <w:rsid w:val="007C1AD0"/>
    <w:rsid w:val="007C1CFC"/>
    <w:rsid w:val="007C3188"/>
    <w:rsid w:val="007C5A91"/>
    <w:rsid w:val="007E20F9"/>
    <w:rsid w:val="00803E88"/>
    <w:rsid w:val="0080457E"/>
    <w:rsid w:val="008145DD"/>
    <w:rsid w:val="008235DC"/>
    <w:rsid w:val="008378EE"/>
    <w:rsid w:val="00856392"/>
    <w:rsid w:val="008619D3"/>
    <w:rsid w:val="0086339C"/>
    <w:rsid w:val="008A1D96"/>
    <w:rsid w:val="008C470E"/>
    <w:rsid w:val="008E527B"/>
    <w:rsid w:val="008F209C"/>
    <w:rsid w:val="00911605"/>
    <w:rsid w:val="009157E6"/>
    <w:rsid w:val="0092470A"/>
    <w:rsid w:val="009326BB"/>
    <w:rsid w:val="00941CBD"/>
    <w:rsid w:val="00950857"/>
    <w:rsid w:val="00951DFC"/>
    <w:rsid w:val="009775E8"/>
    <w:rsid w:val="009E7685"/>
    <w:rsid w:val="00A031D3"/>
    <w:rsid w:val="00A13936"/>
    <w:rsid w:val="00A3000D"/>
    <w:rsid w:val="00A37735"/>
    <w:rsid w:val="00A701FE"/>
    <w:rsid w:val="00A744AE"/>
    <w:rsid w:val="00AA6E26"/>
    <w:rsid w:val="00AB322D"/>
    <w:rsid w:val="00AC723B"/>
    <w:rsid w:val="00AD50F7"/>
    <w:rsid w:val="00B05018"/>
    <w:rsid w:val="00B16E49"/>
    <w:rsid w:val="00B259CB"/>
    <w:rsid w:val="00B9018E"/>
    <w:rsid w:val="00B91E70"/>
    <w:rsid w:val="00BA7979"/>
    <w:rsid w:val="00BB0703"/>
    <w:rsid w:val="00BD3726"/>
    <w:rsid w:val="00C373BF"/>
    <w:rsid w:val="00C63A72"/>
    <w:rsid w:val="00C875BF"/>
    <w:rsid w:val="00CB569A"/>
    <w:rsid w:val="00CC4627"/>
    <w:rsid w:val="00CC4706"/>
    <w:rsid w:val="00CD0C1F"/>
    <w:rsid w:val="00CE07FE"/>
    <w:rsid w:val="00D1580A"/>
    <w:rsid w:val="00D4696E"/>
    <w:rsid w:val="00D617BF"/>
    <w:rsid w:val="00D759D2"/>
    <w:rsid w:val="00D90FFE"/>
    <w:rsid w:val="00DB529B"/>
    <w:rsid w:val="00DC2648"/>
    <w:rsid w:val="00DE04C1"/>
    <w:rsid w:val="00DE718E"/>
    <w:rsid w:val="00DF5EE2"/>
    <w:rsid w:val="00E24CEB"/>
    <w:rsid w:val="00E506CF"/>
    <w:rsid w:val="00E63CF4"/>
    <w:rsid w:val="00E80421"/>
    <w:rsid w:val="00E85EB9"/>
    <w:rsid w:val="00E956F6"/>
    <w:rsid w:val="00EB243B"/>
    <w:rsid w:val="00EC218E"/>
    <w:rsid w:val="00F04E3A"/>
    <w:rsid w:val="00F16122"/>
    <w:rsid w:val="00F35D79"/>
    <w:rsid w:val="00F607EE"/>
    <w:rsid w:val="00F74060"/>
    <w:rsid w:val="00FB5C3B"/>
    <w:rsid w:val="00FC7119"/>
    <w:rsid w:val="00FF7EA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4769A27"/>
  <w15:docId w15:val="{E05A0A14-B080-4482-88CF-E78991B98A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1612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16122"/>
    <w:rPr>
      <w:rFonts w:ascii="Lucida Grande" w:hAnsi="Lucida Grande" w:cs="Lucida Grande"/>
      <w:sz w:val="18"/>
      <w:szCs w:val="18"/>
    </w:rPr>
  </w:style>
  <w:style w:type="paragraph" w:styleId="ListParagraph">
    <w:name w:val="List Paragraph"/>
    <w:basedOn w:val="Normal"/>
    <w:uiPriority w:val="34"/>
    <w:qFormat/>
    <w:rsid w:val="00C63A72"/>
    <w:pPr>
      <w:ind w:left="720"/>
      <w:contextualSpacing/>
    </w:pPr>
  </w:style>
  <w:style w:type="character" w:styleId="Hyperlink">
    <w:name w:val="Hyperlink"/>
    <w:basedOn w:val="DefaultParagraphFont"/>
    <w:uiPriority w:val="99"/>
    <w:unhideWhenUsed/>
    <w:rsid w:val="00D90FFE"/>
    <w:rPr>
      <w:color w:val="0000FF" w:themeColor="hyperlink"/>
      <w:u w:val="single"/>
    </w:rPr>
  </w:style>
  <w:style w:type="character" w:styleId="UnresolvedMention">
    <w:name w:val="Unresolved Mention"/>
    <w:basedOn w:val="DefaultParagraphFont"/>
    <w:uiPriority w:val="99"/>
    <w:semiHidden/>
    <w:unhideWhenUsed/>
    <w:rsid w:val="00D90FFE"/>
    <w:rPr>
      <w:color w:val="605E5C"/>
      <w:shd w:val="clear" w:color="auto" w:fill="E1DFDD"/>
    </w:rPr>
  </w:style>
  <w:style w:type="paragraph" w:styleId="FootnoteText">
    <w:name w:val="footnote text"/>
    <w:basedOn w:val="Normal"/>
    <w:link w:val="FootnoteTextChar"/>
    <w:uiPriority w:val="99"/>
    <w:semiHidden/>
    <w:unhideWhenUsed/>
    <w:rsid w:val="00265BD3"/>
    <w:rPr>
      <w:sz w:val="20"/>
      <w:szCs w:val="20"/>
    </w:rPr>
  </w:style>
  <w:style w:type="character" w:customStyle="1" w:styleId="FootnoteTextChar">
    <w:name w:val="Footnote Text Char"/>
    <w:basedOn w:val="DefaultParagraphFont"/>
    <w:link w:val="FootnoteText"/>
    <w:uiPriority w:val="99"/>
    <w:semiHidden/>
    <w:rsid w:val="00265BD3"/>
    <w:rPr>
      <w:sz w:val="20"/>
      <w:szCs w:val="20"/>
    </w:rPr>
  </w:style>
  <w:style w:type="character" w:styleId="FootnoteReference">
    <w:name w:val="footnote reference"/>
    <w:basedOn w:val="DefaultParagraphFont"/>
    <w:uiPriority w:val="99"/>
    <w:semiHidden/>
    <w:unhideWhenUsed/>
    <w:rsid w:val="00265BD3"/>
    <w:rPr>
      <w:vertAlign w:val="superscript"/>
    </w:rPr>
  </w:style>
  <w:style w:type="paragraph" w:styleId="Header">
    <w:name w:val="header"/>
    <w:basedOn w:val="Normal"/>
    <w:link w:val="HeaderChar"/>
    <w:uiPriority w:val="99"/>
    <w:unhideWhenUsed/>
    <w:rsid w:val="00613595"/>
    <w:pPr>
      <w:tabs>
        <w:tab w:val="center" w:pos="4680"/>
        <w:tab w:val="right" w:pos="9360"/>
      </w:tabs>
    </w:pPr>
  </w:style>
  <w:style w:type="character" w:customStyle="1" w:styleId="HeaderChar">
    <w:name w:val="Header Char"/>
    <w:basedOn w:val="DefaultParagraphFont"/>
    <w:link w:val="Header"/>
    <w:uiPriority w:val="99"/>
    <w:rsid w:val="00613595"/>
  </w:style>
  <w:style w:type="paragraph" w:styleId="Footer">
    <w:name w:val="footer"/>
    <w:basedOn w:val="Normal"/>
    <w:link w:val="FooterChar"/>
    <w:uiPriority w:val="99"/>
    <w:unhideWhenUsed/>
    <w:rsid w:val="00613595"/>
    <w:pPr>
      <w:tabs>
        <w:tab w:val="center" w:pos="4680"/>
        <w:tab w:val="right" w:pos="9360"/>
      </w:tabs>
    </w:pPr>
  </w:style>
  <w:style w:type="character" w:customStyle="1" w:styleId="FooterChar">
    <w:name w:val="Footer Char"/>
    <w:basedOn w:val="DefaultParagraphFont"/>
    <w:link w:val="Footer"/>
    <w:uiPriority w:val="99"/>
    <w:rsid w:val="006135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cornwell@cornwellfirm.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96EA4-2F12-40F5-841E-460618DA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5</Pages>
  <Words>1544</Words>
  <Characters>8805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Graphics Department</dc:creator>
  <cp:keywords/>
  <cp:lastModifiedBy>Ashley</cp:lastModifiedBy>
  <cp:revision>4</cp:revision>
  <cp:lastPrinted>2019-08-22T13:44:00Z</cp:lastPrinted>
  <dcterms:created xsi:type="dcterms:W3CDTF">2022-12-09T00:28:00Z</dcterms:created>
  <dcterms:modified xsi:type="dcterms:W3CDTF">2022-12-09T22:41:00Z</dcterms:modified>
</cp:coreProperties>
</file>