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9A" w:rsidRPr="00B167E6" w:rsidRDefault="00E7459A" w:rsidP="003D4338">
      <w:pPr>
        <w:widowControl w:val="0"/>
        <w:autoSpaceDE w:val="0"/>
        <w:autoSpaceDN w:val="0"/>
        <w:adjustRightInd w:val="0"/>
        <w:rPr>
          <w:b/>
          <w:bCs/>
        </w:rPr>
      </w:pPr>
      <w:r w:rsidRPr="00B167E6">
        <w:rPr>
          <w:b/>
          <w:bCs/>
        </w:rPr>
        <w:t>STATE OF SOUTH CAROLINA</w:t>
      </w:r>
      <w:r w:rsidRPr="00B167E6">
        <w:rPr>
          <w:b/>
          <w:bCs/>
        </w:rPr>
        <w:tab/>
        <w:t>)</w:t>
      </w:r>
      <w:r w:rsidRPr="00B167E6">
        <w:rPr>
          <w:b/>
          <w:bCs/>
        </w:rPr>
        <w:tab/>
        <w:t xml:space="preserve">IN THE COURT OF COMMON PLEAS </w:t>
      </w:r>
    </w:p>
    <w:p w:rsidR="00E7459A" w:rsidRPr="00B167E6" w:rsidRDefault="00E7459A" w:rsidP="003D4338">
      <w:pPr>
        <w:widowControl w:val="0"/>
        <w:autoSpaceDE w:val="0"/>
        <w:autoSpaceDN w:val="0"/>
        <w:adjustRightInd w:val="0"/>
        <w:rPr>
          <w:b/>
          <w:bCs/>
        </w:rPr>
      </w:pPr>
      <w:r w:rsidRPr="00B167E6">
        <w:rPr>
          <w:b/>
          <w:bCs/>
        </w:rPr>
        <w:tab/>
      </w:r>
      <w:r w:rsidRPr="00B167E6">
        <w:rPr>
          <w:b/>
          <w:bCs/>
        </w:rPr>
        <w:tab/>
      </w:r>
      <w:r w:rsidRPr="00B167E6">
        <w:rPr>
          <w:b/>
          <w:bCs/>
        </w:rPr>
        <w:tab/>
      </w:r>
      <w:r w:rsidRPr="00B167E6">
        <w:rPr>
          <w:b/>
          <w:bCs/>
        </w:rPr>
        <w:tab/>
      </w:r>
      <w:r w:rsidRPr="00B167E6">
        <w:rPr>
          <w:b/>
          <w:bCs/>
        </w:rPr>
        <w:tab/>
        <w:t>)</w:t>
      </w:r>
      <w:r w:rsidRPr="00B167E6">
        <w:rPr>
          <w:b/>
          <w:bCs/>
        </w:rPr>
        <w:tab/>
      </w:r>
    </w:p>
    <w:p w:rsidR="00E7459A" w:rsidRPr="00B167E6" w:rsidRDefault="00E7459A" w:rsidP="003D43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4320" w:hanging="4320"/>
        <w:rPr>
          <w:b/>
          <w:bCs/>
        </w:rPr>
      </w:pPr>
      <w:r w:rsidRPr="00B167E6">
        <w:rPr>
          <w:b/>
          <w:bCs/>
        </w:rPr>
        <w:t>COUNTY OF DORCHESTER</w:t>
      </w:r>
      <w:r w:rsidRPr="00B167E6">
        <w:rPr>
          <w:b/>
          <w:bCs/>
        </w:rPr>
        <w:tab/>
        <w:t>)</w:t>
      </w:r>
    </w:p>
    <w:p w:rsidR="00E7459A" w:rsidRPr="00B167E6" w:rsidRDefault="00E7459A" w:rsidP="003D4338">
      <w:pPr>
        <w:widowControl w:val="0"/>
        <w:autoSpaceDE w:val="0"/>
        <w:autoSpaceDN w:val="0"/>
        <w:adjustRightInd w:val="0"/>
        <w:rPr>
          <w:b/>
          <w:bCs/>
        </w:rPr>
      </w:pPr>
      <w:r w:rsidRPr="00B167E6">
        <w:rPr>
          <w:b/>
          <w:bCs/>
        </w:rPr>
        <w:tab/>
      </w:r>
      <w:r w:rsidRPr="00B167E6">
        <w:rPr>
          <w:b/>
          <w:bCs/>
        </w:rPr>
        <w:tab/>
      </w:r>
      <w:r w:rsidRPr="00B167E6">
        <w:rPr>
          <w:b/>
          <w:bCs/>
        </w:rPr>
        <w:tab/>
      </w:r>
      <w:r w:rsidRPr="00B167E6">
        <w:rPr>
          <w:b/>
          <w:bCs/>
        </w:rPr>
        <w:tab/>
      </w:r>
      <w:r w:rsidRPr="00B167E6">
        <w:rPr>
          <w:b/>
          <w:bCs/>
        </w:rPr>
        <w:tab/>
        <w:t>)</w:t>
      </w:r>
      <w:r w:rsidRPr="00B167E6">
        <w:rPr>
          <w:b/>
          <w:bCs/>
        </w:rPr>
        <w:tab/>
      </w:r>
    </w:p>
    <w:p w:rsidR="00E7459A" w:rsidRPr="00B167E6" w:rsidRDefault="00E7459A" w:rsidP="003D4338">
      <w:pPr>
        <w:widowControl w:val="0"/>
        <w:autoSpaceDE w:val="0"/>
        <w:autoSpaceDN w:val="0"/>
        <w:adjustRightInd w:val="0"/>
        <w:rPr>
          <w:b/>
          <w:bCs/>
        </w:rPr>
      </w:pPr>
      <w:r w:rsidRPr="00B167E6">
        <w:rPr>
          <w:b/>
          <w:bCs/>
        </w:rPr>
        <w:t>Kamala Creighton</w:t>
      </w:r>
      <w:r w:rsidRPr="00B167E6">
        <w:rPr>
          <w:b/>
          <w:bCs/>
        </w:rPr>
        <w:tab/>
      </w:r>
      <w:r w:rsidRPr="00B167E6">
        <w:rPr>
          <w:b/>
          <w:bCs/>
        </w:rPr>
        <w:tab/>
      </w:r>
      <w:r w:rsidRPr="00B167E6">
        <w:rPr>
          <w:b/>
          <w:bCs/>
        </w:rPr>
        <w:tab/>
        <w:t>)</w:t>
      </w:r>
      <w:r w:rsidRPr="00B167E6">
        <w:rPr>
          <w:b/>
          <w:bCs/>
        </w:rPr>
        <w:tab/>
      </w:r>
    </w:p>
    <w:p w:rsidR="00E7459A" w:rsidRPr="00B167E6" w:rsidRDefault="00E7459A" w:rsidP="003D4338">
      <w:pPr>
        <w:widowControl w:val="0"/>
        <w:autoSpaceDE w:val="0"/>
        <w:autoSpaceDN w:val="0"/>
        <w:adjustRightInd w:val="0"/>
        <w:rPr>
          <w:b/>
          <w:bCs/>
        </w:rPr>
      </w:pPr>
      <w:r w:rsidRPr="00B167E6">
        <w:rPr>
          <w:b/>
          <w:bCs/>
        </w:rPr>
        <w:tab/>
      </w:r>
      <w:r w:rsidRPr="00B167E6">
        <w:rPr>
          <w:b/>
          <w:bCs/>
        </w:rPr>
        <w:tab/>
      </w:r>
      <w:r w:rsidRPr="00B167E6">
        <w:rPr>
          <w:b/>
          <w:bCs/>
        </w:rPr>
        <w:tab/>
      </w:r>
      <w:r w:rsidRPr="00B167E6">
        <w:rPr>
          <w:b/>
          <w:bCs/>
        </w:rPr>
        <w:tab/>
      </w:r>
      <w:r w:rsidRPr="00B167E6">
        <w:rPr>
          <w:b/>
          <w:bCs/>
        </w:rPr>
        <w:tab/>
        <w:t>)</w:t>
      </w:r>
      <w:r w:rsidRPr="00B167E6">
        <w:rPr>
          <w:b/>
          <w:bCs/>
        </w:rPr>
        <w:tab/>
        <w:t xml:space="preserve">SUPPLEMENT TO APPLICATION FOR  </w:t>
      </w:r>
    </w:p>
    <w:p w:rsidR="00E7459A" w:rsidRPr="00B167E6" w:rsidRDefault="00E7459A" w:rsidP="003D4338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  <w:r w:rsidRPr="00B167E6">
        <w:rPr>
          <w:b/>
          <w:bCs/>
        </w:rPr>
        <w:t>v.</w:t>
      </w:r>
      <w:r w:rsidRPr="00B167E6">
        <w:rPr>
          <w:b/>
          <w:bCs/>
        </w:rPr>
        <w:tab/>
      </w:r>
      <w:r w:rsidRPr="00B167E6">
        <w:rPr>
          <w:b/>
          <w:bCs/>
        </w:rPr>
        <w:tab/>
      </w:r>
      <w:r w:rsidRPr="00B167E6">
        <w:rPr>
          <w:b/>
          <w:bCs/>
        </w:rPr>
        <w:tab/>
      </w:r>
      <w:r w:rsidRPr="00B167E6">
        <w:rPr>
          <w:b/>
          <w:bCs/>
        </w:rPr>
        <w:tab/>
        <w:t>)</w:t>
      </w:r>
      <w:r w:rsidRPr="00B167E6">
        <w:rPr>
          <w:b/>
          <w:bCs/>
        </w:rPr>
        <w:tab/>
        <w:t xml:space="preserve">POST-CONVICTION RELIEF </w:t>
      </w:r>
      <w:smartTag w:uri="urn:schemas-microsoft-com:office:smarttags" w:element="stockticker">
        <w:r w:rsidRPr="00B167E6">
          <w:rPr>
            <w:b/>
            <w:bCs/>
          </w:rPr>
          <w:t>AND</w:t>
        </w:r>
      </w:smartTag>
      <w:r w:rsidRPr="00B167E6">
        <w:rPr>
          <w:b/>
          <w:bCs/>
        </w:rPr>
        <w:t xml:space="preserve"> </w:t>
      </w:r>
    </w:p>
    <w:p w:rsidR="00E7459A" w:rsidRPr="00B167E6" w:rsidRDefault="00E7459A" w:rsidP="003D4338">
      <w:pPr>
        <w:widowControl w:val="0"/>
        <w:autoSpaceDE w:val="0"/>
        <w:autoSpaceDN w:val="0"/>
        <w:adjustRightInd w:val="0"/>
        <w:rPr>
          <w:b/>
          <w:bCs/>
        </w:rPr>
      </w:pPr>
      <w:r w:rsidRPr="00B167E6">
        <w:rPr>
          <w:b/>
          <w:bCs/>
        </w:rPr>
        <w:tab/>
      </w:r>
      <w:r w:rsidRPr="00B167E6">
        <w:rPr>
          <w:b/>
          <w:bCs/>
        </w:rPr>
        <w:tab/>
      </w:r>
      <w:r w:rsidRPr="00B167E6">
        <w:rPr>
          <w:b/>
          <w:bCs/>
        </w:rPr>
        <w:tab/>
      </w:r>
      <w:r w:rsidRPr="00B167E6">
        <w:rPr>
          <w:b/>
          <w:bCs/>
        </w:rPr>
        <w:tab/>
      </w:r>
      <w:r w:rsidRPr="00B167E6">
        <w:rPr>
          <w:b/>
          <w:bCs/>
        </w:rPr>
        <w:tab/>
        <w:t>)</w:t>
      </w:r>
      <w:r w:rsidRPr="00B167E6">
        <w:rPr>
          <w:b/>
          <w:bCs/>
        </w:rPr>
        <w:tab/>
        <w:t>INCORPORATED MEMORANDUM OF LAW</w:t>
      </w:r>
    </w:p>
    <w:p w:rsidR="00E7459A" w:rsidRPr="00B167E6" w:rsidRDefault="00E7459A" w:rsidP="003D4338">
      <w:pPr>
        <w:widowControl w:val="0"/>
        <w:rPr>
          <w:b/>
          <w:bCs/>
        </w:rPr>
      </w:pPr>
      <w:proofErr w:type="gramStart"/>
      <w:r w:rsidRPr="00B167E6">
        <w:rPr>
          <w:b/>
          <w:bCs/>
        </w:rPr>
        <w:t>State of South Carolina.</w:t>
      </w:r>
      <w:proofErr w:type="gramEnd"/>
      <w:r w:rsidR="00B167E6">
        <w:rPr>
          <w:b/>
          <w:bCs/>
        </w:rPr>
        <w:t xml:space="preserve">                  </w:t>
      </w:r>
      <w:r w:rsidRPr="00B167E6">
        <w:rPr>
          <w:b/>
          <w:bCs/>
        </w:rPr>
        <w:t xml:space="preserve"> )</w:t>
      </w:r>
      <w:r w:rsidRPr="00B167E6">
        <w:rPr>
          <w:b/>
          <w:bCs/>
        </w:rPr>
        <w:tab/>
      </w:r>
    </w:p>
    <w:p w:rsidR="00E7459A" w:rsidRPr="00B167E6" w:rsidRDefault="00E7459A" w:rsidP="003D4338">
      <w:pPr>
        <w:widowControl w:val="0"/>
        <w:autoSpaceDE w:val="0"/>
        <w:autoSpaceDN w:val="0"/>
        <w:adjustRightInd w:val="0"/>
      </w:pPr>
      <w:r w:rsidRPr="00B167E6">
        <w:rPr>
          <w:b/>
          <w:bCs/>
        </w:rPr>
        <w:tab/>
      </w:r>
      <w:r w:rsidRPr="00B167E6">
        <w:rPr>
          <w:b/>
          <w:bCs/>
        </w:rPr>
        <w:tab/>
      </w:r>
      <w:r w:rsidRPr="00B167E6">
        <w:rPr>
          <w:b/>
          <w:bCs/>
        </w:rPr>
        <w:tab/>
        <w:t xml:space="preserve"> </w:t>
      </w:r>
      <w:r w:rsidRPr="00B167E6">
        <w:rPr>
          <w:b/>
          <w:bCs/>
        </w:rPr>
        <w:tab/>
        <w:t xml:space="preserve">      </w:t>
      </w:r>
      <w:r w:rsidRPr="00B167E6">
        <w:rPr>
          <w:b/>
          <w:bCs/>
        </w:rPr>
        <w:tab/>
        <w:t xml:space="preserve">)  </w:t>
      </w:r>
    </w:p>
    <w:p w:rsidR="00E7459A" w:rsidRPr="00B167E6" w:rsidRDefault="00E7459A" w:rsidP="003D4338">
      <w:pPr>
        <w:widowControl w:val="0"/>
        <w:autoSpaceDE w:val="0"/>
        <w:autoSpaceDN w:val="0"/>
        <w:adjustRightInd w:val="0"/>
      </w:pPr>
      <w:r w:rsidRPr="00B167E6">
        <w:rPr>
          <w:b/>
          <w:bCs/>
        </w:rPr>
        <w:t xml:space="preserve">                      </w:t>
      </w:r>
      <w:r w:rsidRPr="00B167E6">
        <w:rPr>
          <w:b/>
          <w:bCs/>
        </w:rPr>
        <w:tab/>
      </w:r>
      <w:r w:rsidRPr="00B167E6">
        <w:rPr>
          <w:b/>
          <w:bCs/>
        </w:rPr>
        <w:tab/>
        <w:t xml:space="preserve">      </w:t>
      </w:r>
      <w:r w:rsidRPr="00B167E6">
        <w:rPr>
          <w:b/>
          <w:bCs/>
        </w:rPr>
        <w:tab/>
      </w:r>
      <w:r w:rsidRPr="00B167E6">
        <w:rPr>
          <w:b/>
          <w:bCs/>
        </w:rPr>
        <w:tab/>
        <w:t>)</w:t>
      </w:r>
      <w:r w:rsidRPr="00B167E6">
        <w:rPr>
          <w:b/>
          <w:bCs/>
        </w:rPr>
        <w:tab/>
      </w:r>
      <w:r w:rsidRPr="00B167E6">
        <w:rPr>
          <w:b/>
          <w:bCs/>
        </w:rPr>
        <w:tab/>
        <w:t xml:space="preserve">  </w:t>
      </w:r>
      <w:r w:rsidRPr="00B167E6">
        <w:t xml:space="preserve"> </w:t>
      </w:r>
    </w:p>
    <w:p w:rsidR="00E7459A" w:rsidRPr="00B167E6" w:rsidRDefault="00E7459A" w:rsidP="003D4338">
      <w:pPr>
        <w:rPr>
          <w:b/>
          <w:bCs/>
        </w:rPr>
      </w:pPr>
      <w:r w:rsidRPr="00B167E6">
        <w:rPr>
          <w:b/>
          <w:bCs/>
        </w:rPr>
        <w:t>______________________________)</w:t>
      </w:r>
      <w:r w:rsidRPr="00B167E6">
        <w:rPr>
          <w:b/>
          <w:bCs/>
        </w:rPr>
        <w:tab/>
      </w:r>
    </w:p>
    <w:p w:rsidR="00E7459A" w:rsidRPr="00B167E6" w:rsidRDefault="00E7459A" w:rsidP="003D4338"/>
    <w:p w:rsidR="00E7459A" w:rsidRPr="00B167E6" w:rsidRDefault="00E7459A" w:rsidP="003D4338">
      <w:pPr>
        <w:spacing w:line="480" w:lineRule="auto"/>
      </w:pPr>
      <w:r w:rsidRPr="00B167E6">
        <w:tab/>
        <w:t>Petitioner Kamala Creighton, by and through her counsel, respectfully requests that the Court grant her petition for post-conviction relief, on the following grounds:</w:t>
      </w:r>
    </w:p>
    <w:p w:rsidR="00E7459A" w:rsidRPr="00B167E6" w:rsidRDefault="00E7459A" w:rsidP="003D4338"/>
    <w:p w:rsidR="00E7459A" w:rsidRPr="00B167E6" w:rsidRDefault="00E7459A" w:rsidP="003D4338">
      <w:pPr>
        <w:jc w:val="center"/>
        <w:rPr>
          <w:rFonts w:ascii="Calibri" w:hAnsi="Calibri" w:cs="Calibri"/>
          <w:b/>
          <w:bCs/>
        </w:rPr>
      </w:pPr>
      <w:r w:rsidRPr="00B167E6">
        <w:rPr>
          <w:b/>
          <w:bCs/>
        </w:rPr>
        <w:t xml:space="preserve">JURISDICTIONAL STATEMENT </w:t>
      </w:r>
      <w:smartTag w:uri="urn:schemas-microsoft-com:office:smarttags" w:element="stockticker">
        <w:r w:rsidRPr="00B167E6">
          <w:rPr>
            <w:b/>
            <w:bCs/>
          </w:rPr>
          <w:t>AND</w:t>
        </w:r>
      </w:smartTag>
      <w:r w:rsidRPr="00B167E6">
        <w:rPr>
          <w:b/>
          <w:bCs/>
        </w:rPr>
        <w:t xml:space="preserve"> STATEMENT OF FACTS</w:t>
      </w:r>
    </w:p>
    <w:p w:rsidR="00E7459A" w:rsidRPr="00B167E6" w:rsidRDefault="00E7459A" w:rsidP="003D4338">
      <w:pPr>
        <w:jc w:val="center"/>
        <w:rPr>
          <w:b/>
          <w:bCs/>
        </w:rPr>
      </w:pPr>
    </w:p>
    <w:p w:rsidR="00E7459A" w:rsidRPr="00B167E6" w:rsidRDefault="00E7459A" w:rsidP="003D4338">
      <w:pPr>
        <w:jc w:val="center"/>
        <w:rPr>
          <w:b/>
          <w:bCs/>
        </w:rPr>
      </w:pPr>
    </w:p>
    <w:p w:rsidR="00E7459A" w:rsidRPr="00B167E6" w:rsidRDefault="00E7459A" w:rsidP="003D4338">
      <w:pPr>
        <w:spacing w:line="480" w:lineRule="auto"/>
        <w:ind w:firstLine="720"/>
      </w:pPr>
      <w:r w:rsidRPr="00B167E6">
        <w:t xml:space="preserve">Kamala Creighton was charged in Dorchester County, S.C. with possession with intent to distribute </w:t>
      </w:r>
      <w:r w:rsidR="00000091" w:rsidRPr="00B167E6">
        <w:t xml:space="preserve">marijuana in November of 2006.  </w:t>
      </w:r>
      <w:r w:rsidRPr="00B167E6">
        <w:t>Kamala was indicted on the same charge in Do</w:t>
      </w:r>
      <w:r w:rsidR="00000091" w:rsidRPr="00B167E6">
        <w:t xml:space="preserve">rchester County, S.C. in 2007.  </w:t>
      </w:r>
      <w:r w:rsidRPr="00B167E6">
        <w:t xml:space="preserve">In July of 2007, Kamala was advised by her attorney that she should plead </w:t>
      </w:r>
      <w:r w:rsidR="001C6824" w:rsidRPr="00B167E6">
        <w:t>to the lesser included offense of possession with intent to distribute marijuana</w:t>
      </w:r>
      <w:r w:rsidR="00000091" w:rsidRPr="00B167E6">
        <w:t xml:space="preserve">.  </w:t>
      </w:r>
      <w:r w:rsidRPr="00B167E6">
        <w:t xml:space="preserve">Kamala </w:t>
      </w:r>
      <w:r w:rsidR="001C6824" w:rsidRPr="00B167E6">
        <w:t xml:space="preserve">entered a plea to possession with intent to distribute marijuana and </w:t>
      </w:r>
      <w:r w:rsidRPr="00B167E6">
        <w:t>was sentenced to three years</w:t>
      </w:r>
      <w:r w:rsidR="00FD252C" w:rsidRPr="00B167E6">
        <w:t>,</w:t>
      </w:r>
      <w:r w:rsidRPr="00B167E6">
        <w:t xml:space="preserve"> suspended to two years probation.</w:t>
      </w:r>
    </w:p>
    <w:p w:rsidR="00E7459A" w:rsidRPr="00B167E6" w:rsidRDefault="00E7459A" w:rsidP="003D4338">
      <w:pPr>
        <w:spacing w:line="480" w:lineRule="auto"/>
        <w:ind w:firstLine="720"/>
      </w:pPr>
      <w:r w:rsidRPr="00B167E6">
        <w:t xml:space="preserve">On April 5, 2011, Kamala was advised by </w:t>
      </w:r>
      <w:r w:rsidR="001C6824" w:rsidRPr="00B167E6">
        <w:t>an immigration</w:t>
      </w:r>
      <w:r w:rsidRPr="00B167E6">
        <w:t xml:space="preserve"> attorney that due to her guilty plea to possession with intent to distribute marijuana, she would not be able to extend he</w:t>
      </w:r>
      <w:r w:rsidR="001C6824" w:rsidRPr="00B167E6">
        <w:t xml:space="preserve">r work visa or seek citizenship, and that she is subject to removal from the United States.  </w:t>
      </w:r>
    </w:p>
    <w:p w:rsidR="00E7459A" w:rsidRPr="00B167E6" w:rsidRDefault="00E7459A" w:rsidP="003D4338">
      <w:pPr>
        <w:ind w:firstLine="720"/>
      </w:pPr>
    </w:p>
    <w:p w:rsidR="00E7459A" w:rsidRPr="00B167E6" w:rsidRDefault="00E7459A" w:rsidP="003D4338">
      <w:pPr>
        <w:ind w:firstLine="720"/>
        <w:jc w:val="center"/>
        <w:rPr>
          <w:b/>
          <w:bCs/>
        </w:rPr>
      </w:pPr>
      <w:r w:rsidRPr="00B167E6">
        <w:rPr>
          <w:b/>
          <w:bCs/>
        </w:rPr>
        <w:t>FIRST GROUND FOR POST CONVICTION RELIEF:</w:t>
      </w:r>
    </w:p>
    <w:p w:rsidR="00E7459A" w:rsidRPr="00B167E6" w:rsidRDefault="00E7459A" w:rsidP="003D4338">
      <w:pPr>
        <w:ind w:firstLine="720"/>
        <w:jc w:val="center"/>
        <w:rPr>
          <w:b/>
          <w:bCs/>
        </w:rPr>
      </w:pPr>
    </w:p>
    <w:p w:rsidR="00E7459A" w:rsidRPr="00B167E6" w:rsidRDefault="00511668" w:rsidP="003D433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7E6">
        <w:rPr>
          <w:rFonts w:ascii="Times New Roman" w:hAnsi="Times New Roman" w:cs="Times New Roman"/>
          <w:b/>
          <w:bCs/>
          <w:sz w:val="24"/>
          <w:szCs w:val="24"/>
        </w:rPr>
        <w:t xml:space="preserve">TRIAL COUNSEL RENDERED INEFFECTIVE ASSISTANCE OF COUNSEL </w:t>
      </w:r>
      <w:r w:rsidR="00790928">
        <w:rPr>
          <w:rFonts w:ascii="Times New Roman" w:hAnsi="Times New Roman" w:cs="Times New Roman"/>
          <w:b/>
          <w:bCs/>
          <w:sz w:val="24"/>
          <w:szCs w:val="24"/>
        </w:rPr>
        <w:t>UNDER THE UNITED STATES SUPREME COURT’S DECISION IN PADILLA V. KENTUCKY</w:t>
      </w:r>
    </w:p>
    <w:p w:rsidR="00E7459A" w:rsidRPr="00B167E6" w:rsidRDefault="00E7459A" w:rsidP="003D4338">
      <w:pPr>
        <w:spacing w:line="480" w:lineRule="auto"/>
        <w:ind w:firstLine="720"/>
      </w:pPr>
    </w:p>
    <w:p w:rsidR="00511668" w:rsidRPr="00B167E6" w:rsidRDefault="00E7459A" w:rsidP="003D4338">
      <w:pPr>
        <w:spacing w:line="480" w:lineRule="auto"/>
      </w:pPr>
      <w:r w:rsidRPr="00B167E6">
        <w:lastRenderedPageBreak/>
        <w:tab/>
      </w:r>
      <w:r w:rsidRPr="00B167E6">
        <w:rPr>
          <w:u w:val="single"/>
        </w:rPr>
        <w:t>Strickland v. Washington</w:t>
      </w:r>
      <w:r w:rsidRPr="00B167E6">
        <w:t xml:space="preserve">, 466 U.S. 668 (1984), set forth a two pronged test for claims of ineffective assistance of counsel: 1) that counsel’s advice was not within the range of competence demanded of attorneys in criminal cases; and 2) that there is a reasonable probability that, but for counsel’s errors, the defendant would not have pled guilty and would have insisted on a trial.  </w:t>
      </w:r>
      <w:r w:rsidRPr="00B167E6">
        <w:rPr>
          <w:u w:val="single"/>
        </w:rPr>
        <w:t>Id</w:t>
      </w:r>
      <w:r w:rsidRPr="00B167E6">
        <w:t xml:space="preserve">; </w:t>
      </w:r>
      <w:r w:rsidRPr="00B167E6">
        <w:rPr>
          <w:i/>
          <w:iCs/>
        </w:rPr>
        <w:t>see also</w:t>
      </w:r>
      <w:r w:rsidRPr="00B167E6">
        <w:t xml:space="preserve"> </w:t>
      </w:r>
      <w:r w:rsidRPr="00B167E6">
        <w:rPr>
          <w:u w:val="single"/>
        </w:rPr>
        <w:t>Hill v. Lockhart</w:t>
      </w:r>
      <w:r w:rsidRPr="00B167E6">
        <w:t xml:space="preserve">, 474 U.S. 52 (1985) (applying the </w:t>
      </w:r>
      <w:r w:rsidRPr="00B167E6">
        <w:rPr>
          <w:u w:val="single"/>
        </w:rPr>
        <w:t>Strickland</w:t>
      </w:r>
      <w:r w:rsidRPr="00B167E6">
        <w:t xml:space="preserve"> standard to guilty plea challenges based on ineffective assistance of counsel).  Petitioner’s statement is sufficient evidence to satisfy the prejudice prong.  </w:t>
      </w:r>
      <w:r w:rsidRPr="00B167E6">
        <w:rPr>
          <w:u w:val="single"/>
        </w:rPr>
        <w:t>Jackson v. State</w:t>
      </w:r>
      <w:r w:rsidRPr="00B167E6">
        <w:t>, 321 S.C. 554 (1996) (</w:t>
      </w:r>
      <w:r w:rsidRPr="00B167E6">
        <w:rPr>
          <w:i/>
          <w:iCs/>
        </w:rPr>
        <w:t>overruling</w:t>
      </w:r>
      <w:r w:rsidRPr="00B167E6">
        <w:t xml:space="preserve"> </w:t>
      </w:r>
      <w:r w:rsidRPr="00B167E6">
        <w:rPr>
          <w:u w:val="single"/>
        </w:rPr>
        <w:t>Judge v. State</w:t>
      </w:r>
      <w:r w:rsidRPr="00B167E6">
        <w:t xml:space="preserve">, 321 S.C. 554 (1996), which held that prejudice must be shown by objective evidence).  </w:t>
      </w:r>
    </w:p>
    <w:p w:rsidR="00511668" w:rsidRPr="00B167E6" w:rsidRDefault="00E7459A" w:rsidP="00511668">
      <w:pPr>
        <w:spacing w:line="480" w:lineRule="auto"/>
      </w:pPr>
      <w:r w:rsidRPr="00B167E6">
        <w:tab/>
        <w:t xml:space="preserve">In </w:t>
      </w:r>
      <w:r w:rsidRPr="00B167E6">
        <w:rPr>
          <w:u w:val="single"/>
        </w:rPr>
        <w:t>Padilla v. Kentucky</w:t>
      </w:r>
      <w:r w:rsidRPr="00B167E6">
        <w:t xml:space="preserve">, the United States Supreme Court held that counsel must advise his or her client as to </w:t>
      </w:r>
      <w:r w:rsidR="00511668" w:rsidRPr="00B167E6">
        <w:t>immigration consequences and that failure to do so is ineffective assistance of counsel</w:t>
      </w:r>
      <w:r w:rsidRPr="00B167E6">
        <w:t>.</w:t>
      </w:r>
      <w:r w:rsidR="00000091" w:rsidRPr="00B167E6">
        <w:t xml:space="preserve">  </w:t>
      </w:r>
      <w:proofErr w:type="gramStart"/>
      <w:r w:rsidRPr="00B167E6">
        <w:rPr>
          <w:u w:val="single"/>
        </w:rPr>
        <w:t>Padilla v. Kentucky</w:t>
      </w:r>
      <w:r w:rsidRPr="00B167E6">
        <w:t>, 130 S. Ct. 1473, 176 L.Ed.2d.</w:t>
      </w:r>
      <w:proofErr w:type="gramEnd"/>
      <w:r w:rsidRPr="00B167E6">
        <w:t xml:space="preserve"> </w:t>
      </w:r>
      <w:proofErr w:type="gramStart"/>
      <w:r w:rsidRPr="00B167E6">
        <w:t>284 (2010).</w:t>
      </w:r>
      <w:proofErr w:type="gramEnd"/>
      <w:r w:rsidR="00000091" w:rsidRPr="00B167E6">
        <w:t xml:space="preserve">  </w:t>
      </w:r>
      <w:r w:rsidRPr="00B167E6">
        <w:t>However,</w:t>
      </w:r>
      <w:r w:rsidR="00790928">
        <w:t xml:space="preserve"> the date of Kamala’s guilty plea</w:t>
      </w:r>
      <w:r w:rsidRPr="00B167E6">
        <w:t xml:space="preserve"> was before the </w:t>
      </w:r>
      <w:r w:rsidRPr="00B167E6">
        <w:rPr>
          <w:u w:val="single"/>
        </w:rPr>
        <w:t>Padilla</w:t>
      </w:r>
      <w:r w:rsidR="00000091" w:rsidRPr="00B167E6">
        <w:t xml:space="preserve"> decision.  </w:t>
      </w:r>
      <w:r w:rsidRPr="00B167E6">
        <w:t xml:space="preserve">Therefore, the issue is whether the ruling in </w:t>
      </w:r>
      <w:r w:rsidRPr="00B167E6">
        <w:rPr>
          <w:u w:val="single"/>
        </w:rPr>
        <w:t>Padilla</w:t>
      </w:r>
      <w:r w:rsidR="00000091" w:rsidRPr="00B167E6">
        <w:t xml:space="preserve"> may be applied retroactively.</w:t>
      </w:r>
    </w:p>
    <w:p w:rsidR="00426934" w:rsidRPr="00B167E6" w:rsidRDefault="00511668" w:rsidP="00511668">
      <w:pPr>
        <w:spacing w:line="480" w:lineRule="auto"/>
      </w:pPr>
      <w:r w:rsidRPr="00B167E6">
        <w:tab/>
        <w:t xml:space="preserve">In general, the law that exists when a case becomes final on direct appeal is the law that applies for purposes of post-conviction relief, because the post-conviction action is deciding whether a decision was unfair at the time of conviction.  </w:t>
      </w:r>
      <w:r w:rsidR="00000091" w:rsidRPr="00B167E6">
        <w:t xml:space="preserve">  </w:t>
      </w:r>
      <w:proofErr w:type="gramStart"/>
      <w:r w:rsidRPr="00B167E6">
        <w:rPr>
          <w:u w:val="single"/>
        </w:rPr>
        <w:t>Teague v. Lane</w:t>
      </w:r>
      <w:r w:rsidRPr="00B167E6">
        <w:t>, 480 U.S. 288 (1989).</w:t>
      </w:r>
      <w:proofErr w:type="gramEnd"/>
      <w:r w:rsidRPr="00B167E6">
        <w:t xml:space="preserve">  The question that must be decided is whether the </w:t>
      </w:r>
      <w:r w:rsidRPr="00B167E6">
        <w:rPr>
          <w:u w:val="single"/>
        </w:rPr>
        <w:t>Padilla</w:t>
      </w:r>
      <w:r w:rsidRPr="00B167E6">
        <w:t xml:space="preserve"> decision created a new rule, or merely applied correctly the law that existed when the person’s case became final.  </w:t>
      </w:r>
      <w:proofErr w:type="gramStart"/>
      <w:r w:rsidR="00426934" w:rsidRPr="00B167E6">
        <w:rPr>
          <w:u w:val="single"/>
        </w:rPr>
        <w:t>Williams v. Taylor</w:t>
      </w:r>
      <w:r w:rsidR="00426934" w:rsidRPr="00B167E6">
        <w:t>, 529 U.S. 262, 390-91 (2000).</w:t>
      </w:r>
      <w:proofErr w:type="gramEnd"/>
      <w:r w:rsidR="00426934" w:rsidRPr="00B167E6">
        <w:t xml:space="preserve">  Because Padilla does not create a new rule, but rather corrects the application of the existing law regarding collateral consequences, </w:t>
      </w:r>
      <w:r w:rsidR="00426934" w:rsidRPr="00B167E6">
        <w:rPr>
          <w:u w:val="single"/>
        </w:rPr>
        <w:t>Padilla</w:t>
      </w:r>
      <w:r w:rsidR="00426934" w:rsidRPr="00B167E6">
        <w:t xml:space="preserve"> should be applied retroactively to both cases on direct appeal and post-conviction relief. </w:t>
      </w:r>
    </w:p>
    <w:p w:rsidR="00511668" w:rsidRPr="00B167E6" w:rsidRDefault="00426934" w:rsidP="00511668">
      <w:pPr>
        <w:spacing w:line="480" w:lineRule="auto"/>
      </w:pPr>
      <w:r w:rsidRPr="00B167E6">
        <w:lastRenderedPageBreak/>
        <w:tab/>
      </w:r>
      <w:r w:rsidR="00123202" w:rsidRPr="00B167E6">
        <w:t>The Supreme Court’s decision in Strickland v. Washington is the default rule for ineffective assistance of counsel claims</w:t>
      </w:r>
      <w:r w:rsidR="00790928">
        <w:t>.  I</w:t>
      </w:r>
      <w:r w:rsidR="00123202" w:rsidRPr="00B167E6">
        <w:t xml:space="preserve">n </w:t>
      </w:r>
      <w:r w:rsidR="00123202" w:rsidRPr="00B167E6">
        <w:rPr>
          <w:u w:val="single"/>
        </w:rPr>
        <w:t>Williams v. Taylor</w:t>
      </w:r>
      <w:r w:rsidR="00123202" w:rsidRPr="00B167E6">
        <w:t xml:space="preserve">, 529 U.S. at 390-91, the Court held that applying Strickland to a particular set of facts does not constitute a new rule because Strickland is the general test governing ineffectiveness assistance claims.  </w:t>
      </w:r>
      <w:r w:rsidR="00123202" w:rsidRPr="00B167E6">
        <w:rPr>
          <w:u w:val="single"/>
        </w:rPr>
        <w:t>Id</w:t>
      </w:r>
      <w:r w:rsidR="00123202" w:rsidRPr="00B167E6">
        <w:t xml:space="preserve">.  Similarly, in </w:t>
      </w:r>
      <w:r w:rsidR="00123202" w:rsidRPr="00B167E6">
        <w:rPr>
          <w:u w:val="single"/>
        </w:rPr>
        <w:t>Padilla</w:t>
      </w:r>
      <w:r w:rsidR="00123202" w:rsidRPr="00B167E6">
        <w:t xml:space="preserve"> the Court applied Strickland to a particular set of facts, as opposed to creating a new rule.  In his concurring opinion in </w:t>
      </w:r>
      <w:r w:rsidR="00123202" w:rsidRPr="00A67B84">
        <w:rPr>
          <w:u w:val="single"/>
        </w:rPr>
        <w:t>Wright v. West</w:t>
      </w:r>
      <w:r w:rsidR="00123202" w:rsidRPr="00B167E6">
        <w:t>, 505 U.S. 277, 301 (1992), Justice Kennedy stated:</w:t>
      </w:r>
    </w:p>
    <w:p w:rsidR="00511668" w:rsidRPr="00B167E6" w:rsidRDefault="00123202" w:rsidP="00123202">
      <w:pPr>
        <w:autoSpaceDE w:val="0"/>
        <w:autoSpaceDN w:val="0"/>
        <w:adjustRightInd w:val="0"/>
        <w:ind w:left="720"/>
      </w:pPr>
      <w:r w:rsidRPr="00B167E6">
        <w:rPr>
          <w:rFonts w:eastAsia="Calibri"/>
        </w:rPr>
        <w:t>If the rule in question is one which of necessity requires a case-by</w:t>
      </w:r>
      <w:r w:rsidR="00790928">
        <w:rPr>
          <w:rFonts w:eastAsia="Calibri"/>
        </w:rPr>
        <w:t xml:space="preserve"> </w:t>
      </w:r>
      <w:r w:rsidRPr="00B167E6">
        <w:rPr>
          <w:rFonts w:eastAsia="Calibri"/>
        </w:rPr>
        <w:t>case examination of the evidence, then we can tolerate a number of specific applications without saying that those applications themselves create a new rule.... Where the beginning point is a rule of this general application, a rule designed for the specific purpose of evaluating a myriad of factual contexts, it will be the infrequent case that yields a result so novel that it forges a new rule, one not dictated by precedent.</w:t>
      </w:r>
    </w:p>
    <w:p w:rsidR="00123202" w:rsidRPr="00B167E6" w:rsidRDefault="00123202" w:rsidP="00123202">
      <w:pPr>
        <w:autoSpaceDE w:val="0"/>
        <w:autoSpaceDN w:val="0"/>
        <w:adjustRightInd w:val="0"/>
        <w:spacing w:line="480" w:lineRule="auto"/>
      </w:pPr>
      <w:r w:rsidRPr="00B167E6">
        <w:rPr>
          <w:u w:val="single"/>
        </w:rPr>
        <w:t>Id</w:t>
      </w:r>
      <w:r w:rsidRPr="00B167E6">
        <w:t xml:space="preserve">. </w:t>
      </w:r>
    </w:p>
    <w:p w:rsidR="00123202" w:rsidRPr="00B167E6" w:rsidRDefault="00123202" w:rsidP="00123202">
      <w:pPr>
        <w:autoSpaceDE w:val="0"/>
        <w:autoSpaceDN w:val="0"/>
        <w:adjustRightInd w:val="0"/>
        <w:spacing w:line="480" w:lineRule="auto"/>
      </w:pPr>
      <w:r w:rsidRPr="00B167E6">
        <w:tab/>
        <w:t>Courts have decided the issue of whether Padilla should be applied retroactively with varying results.  O</w:t>
      </w:r>
      <w:r w:rsidR="00E7459A" w:rsidRPr="00B167E6">
        <w:t xml:space="preserve">n April 19, 2011, the United States District Court in South Carolina ruled that </w:t>
      </w:r>
      <w:r w:rsidR="00E7459A" w:rsidRPr="00B167E6">
        <w:rPr>
          <w:u w:val="single"/>
        </w:rPr>
        <w:t>Padilla</w:t>
      </w:r>
      <w:r w:rsidR="00E7459A" w:rsidRPr="00B167E6">
        <w:t xml:space="preserve"> does not apply retroactively.</w:t>
      </w:r>
      <w:r w:rsidR="00000091" w:rsidRPr="00B167E6">
        <w:t xml:space="preserve">  </w:t>
      </w:r>
      <w:r w:rsidR="00E7459A" w:rsidRPr="00B167E6">
        <w:rPr>
          <w:u w:val="single"/>
        </w:rPr>
        <w:t>Dennis v. United States</w:t>
      </w:r>
      <w:r w:rsidR="00E7459A" w:rsidRPr="00B167E6">
        <w:t>, Case No. 08-CR-889-JFA (D.S.C. Apr. 19, 2011</w:t>
      </w:r>
      <w:r w:rsidR="00000091" w:rsidRPr="00B167E6">
        <w:t xml:space="preserve">).  </w:t>
      </w:r>
      <w:r w:rsidR="00790928">
        <w:t>Other</w:t>
      </w:r>
      <w:r w:rsidR="00E7459A" w:rsidRPr="00B167E6">
        <w:t xml:space="preserve"> federal courts</w:t>
      </w:r>
      <w:r w:rsidRPr="00B167E6">
        <w:t>, however,</w:t>
      </w:r>
      <w:r w:rsidR="00E7459A" w:rsidRPr="00B167E6">
        <w:t xml:space="preserve"> are split on whether </w:t>
      </w:r>
      <w:r w:rsidR="00E7459A" w:rsidRPr="00B167E6">
        <w:rPr>
          <w:u w:val="single"/>
        </w:rPr>
        <w:t>Padilla</w:t>
      </w:r>
      <w:r w:rsidR="00000091" w:rsidRPr="00B167E6">
        <w:t xml:space="preserve"> is retroactive.  </w:t>
      </w:r>
      <w:r w:rsidRPr="00B167E6">
        <w:t>I</w:t>
      </w:r>
      <w:r w:rsidR="00E7459A" w:rsidRPr="00B167E6">
        <w:t>n June of 2011, the 3</w:t>
      </w:r>
      <w:r w:rsidR="00E7459A" w:rsidRPr="00B167E6">
        <w:rPr>
          <w:vertAlign w:val="superscript"/>
        </w:rPr>
        <w:t>rd</w:t>
      </w:r>
      <w:r w:rsidR="00E7459A" w:rsidRPr="00B167E6">
        <w:t xml:space="preserve"> Circuit Court of Appeals found that </w:t>
      </w:r>
      <w:r w:rsidR="00E7459A" w:rsidRPr="00B167E6">
        <w:rPr>
          <w:u w:val="single"/>
        </w:rPr>
        <w:t>Padilla</w:t>
      </w:r>
      <w:r w:rsidR="00E7459A" w:rsidRPr="00B167E6">
        <w:t xml:space="preserve"> was an old rule, and thus applies retroactively.</w:t>
      </w:r>
      <w:r w:rsidR="00000091" w:rsidRPr="00B167E6">
        <w:t xml:space="preserve">  </w:t>
      </w:r>
      <w:proofErr w:type="gramStart"/>
      <w:r w:rsidR="00E7459A" w:rsidRPr="00B167E6">
        <w:rPr>
          <w:u w:val="single"/>
        </w:rPr>
        <w:t xml:space="preserve">United States v. </w:t>
      </w:r>
      <w:proofErr w:type="spellStart"/>
      <w:r w:rsidR="00E7459A" w:rsidRPr="00B167E6">
        <w:rPr>
          <w:u w:val="single"/>
        </w:rPr>
        <w:t>Orocio</w:t>
      </w:r>
      <w:proofErr w:type="spellEnd"/>
      <w:r w:rsidR="00E7459A" w:rsidRPr="00B167E6">
        <w:t>, No. 10-1231 (3d.</w:t>
      </w:r>
      <w:proofErr w:type="gramEnd"/>
      <w:r w:rsidR="00E7459A" w:rsidRPr="00B167E6">
        <w:t xml:space="preserve"> Cir. June 29, 2011</w:t>
      </w:r>
      <w:r w:rsidRPr="00B167E6">
        <w:t>).  The 7</w:t>
      </w:r>
      <w:r w:rsidRPr="00B167E6">
        <w:rPr>
          <w:vertAlign w:val="superscript"/>
        </w:rPr>
        <w:t>th</w:t>
      </w:r>
      <w:r w:rsidRPr="00B167E6">
        <w:t xml:space="preserve"> Circuit Court of Appeals, on the other hand, has held that </w:t>
      </w:r>
      <w:r w:rsidRPr="00B167E6">
        <w:rPr>
          <w:u w:val="single"/>
        </w:rPr>
        <w:t>Padilla</w:t>
      </w:r>
      <w:r w:rsidRPr="00B167E6">
        <w:t xml:space="preserve"> does not apply retroactively. </w:t>
      </w:r>
      <w:r w:rsidRPr="00B167E6">
        <w:rPr>
          <w:i/>
          <w:iCs/>
        </w:rPr>
        <w:t xml:space="preserve"> </w:t>
      </w:r>
      <w:proofErr w:type="spellStart"/>
      <w:r w:rsidRPr="00B167E6">
        <w:rPr>
          <w:iCs/>
          <w:u w:val="single"/>
        </w:rPr>
        <w:t>Chaidez</w:t>
      </w:r>
      <w:proofErr w:type="spellEnd"/>
      <w:r w:rsidRPr="00B167E6">
        <w:rPr>
          <w:iCs/>
          <w:u w:val="single"/>
        </w:rPr>
        <w:t xml:space="preserve"> v. United States</w:t>
      </w:r>
      <w:r w:rsidRPr="00B167E6">
        <w:t xml:space="preserve">, </w:t>
      </w:r>
      <w:hyperlink r:id="rId6" w:tgtFrame="_blank" w:history="1">
        <w:r w:rsidRPr="00B167E6">
          <w:rPr>
            <w:rStyle w:val="Hyperlink"/>
            <w:color w:val="auto"/>
            <w:u w:val="none"/>
          </w:rPr>
          <w:t>No. 10-3623</w:t>
        </w:r>
      </w:hyperlink>
      <w:r w:rsidRPr="00B167E6">
        <w:t xml:space="preserve"> (7th Cir. Aug. 23, 2011)</w:t>
      </w:r>
      <w:r w:rsidR="00B167E6" w:rsidRPr="00B167E6">
        <w:t xml:space="preserve">.  </w:t>
      </w:r>
    </w:p>
    <w:p w:rsidR="00B167E6" w:rsidRPr="00B167E6" w:rsidRDefault="00B167E6" w:rsidP="00123202">
      <w:pPr>
        <w:autoSpaceDE w:val="0"/>
        <w:autoSpaceDN w:val="0"/>
        <w:adjustRightInd w:val="0"/>
        <w:spacing w:line="480" w:lineRule="auto"/>
      </w:pPr>
      <w:r w:rsidRPr="00B167E6">
        <w:tab/>
        <w:t>Although there are currently no 4</w:t>
      </w:r>
      <w:r w:rsidRPr="00B167E6">
        <w:rPr>
          <w:vertAlign w:val="superscript"/>
        </w:rPr>
        <w:t>th</w:t>
      </w:r>
      <w:r w:rsidRPr="00B167E6">
        <w:t xml:space="preserve"> Circuit opinions on whether </w:t>
      </w:r>
      <w:r w:rsidRPr="00B167E6">
        <w:rPr>
          <w:u w:val="single"/>
        </w:rPr>
        <w:t>Padilla</w:t>
      </w:r>
      <w:r w:rsidRPr="00B167E6">
        <w:t xml:space="preserve"> applies retroactively, the District Court for the Eastern District of North Carolina has granted a certificate of </w:t>
      </w:r>
      <w:proofErr w:type="spellStart"/>
      <w:r w:rsidRPr="00B167E6">
        <w:t>appealability</w:t>
      </w:r>
      <w:proofErr w:type="spellEnd"/>
      <w:r w:rsidRPr="00B167E6">
        <w:t xml:space="preserve"> regarding whether </w:t>
      </w:r>
      <w:r w:rsidRPr="00B167E6">
        <w:rPr>
          <w:iCs/>
          <w:u w:val="single"/>
        </w:rPr>
        <w:t>Padilla</w:t>
      </w:r>
      <w:r w:rsidRPr="00B167E6">
        <w:t xml:space="preserve"> applies retroactively on collateral review.  </w:t>
      </w:r>
      <w:proofErr w:type="spellStart"/>
      <w:r w:rsidRPr="00B167E6">
        <w:rPr>
          <w:iCs/>
          <w:u w:val="single"/>
        </w:rPr>
        <w:t>Mathur</w:t>
      </w:r>
      <w:proofErr w:type="spellEnd"/>
      <w:r w:rsidRPr="00B167E6">
        <w:rPr>
          <w:iCs/>
          <w:u w:val="single"/>
        </w:rPr>
        <w:t xml:space="preserve"> v. United States</w:t>
      </w:r>
      <w:r w:rsidRPr="00B167E6">
        <w:rPr>
          <w:u w:val="single"/>
        </w:rPr>
        <w:t>,</w:t>
      </w:r>
      <w:r w:rsidRPr="00B167E6">
        <w:t xml:space="preserve"> No. 7:07-CR-92-BO, </w:t>
      </w:r>
      <w:hyperlink r:id="rId7" w:history="1">
        <w:r w:rsidRPr="00B167E6">
          <w:rPr>
            <w:rStyle w:val="Hyperlink"/>
            <w:color w:val="auto"/>
            <w:u w:val="none"/>
          </w:rPr>
          <w:t>2011 WL 2036701</w:t>
        </w:r>
      </w:hyperlink>
      <w:r w:rsidRPr="00B167E6">
        <w:t xml:space="preserve"> (E.D.N.C. May 24, 2011).  </w:t>
      </w:r>
      <w:r w:rsidRPr="00B167E6">
        <w:lastRenderedPageBreak/>
        <w:t>There are currently no reported opinions from the South Carolina Court of Appeals or South Carolina Supreme Court</w:t>
      </w:r>
      <w:r w:rsidR="00790928">
        <w:t xml:space="preserve"> as to </w:t>
      </w:r>
      <w:r w:rsidR="00790928" w:rsidRPr="00B167E6">
        <w:t xml:space="preserve">whether </w:t>
      </w:r>
      <w:r w:rsidR="00790928" w:rsidRPr="00B167E6">
        <w:rPr>
          <w:u w:val="single"/>
        </w:rPr>
        <w:t>Padilla</w:t>
      </w:r>
      <w:r w:rsidR="00790928" w:rsidRPr="00B167E6">
        <w:t xml:space="preserve"> applies retroactively</w:t>
      </w:r>
      <w:r w:rsidRPr="00B167E6">
        <w:t>.</w:t>
      </w:r>
    </w:p>
    <w:p w:rsidR="00B167E6" w:rsidRPr="00B167E6" w:rsidRDefault="00B167E6" w:rsidP="00B167E6">
      <w:pPr>
        <w:spacing w:line="480" w:lineRule="auto"/>
        <w:ind w:firstLine="720"/>
      </w:pPr>
      <w:r w:rsidRPr="00B167E6">
        <w:tab/>
        <w:t xml:space="preserve">If Kamala had known that she would not only be barred from obtaining citizenship, but could potentially be deported, she would not have entered a guilty plea, and she would have proceeded to trial in her case.  Because the U.S. Supreme Court’s decision in </w:t>
      </w:r>
      <w:r w:rsidRPr="00B167E6">
        <w:rPr>
          <w:u w:val="single"/>
        </w:rPr>
        <w:t>Padilla</w:t>
      </w:r>
      <w:r w:rsidRPr="00B167E6">
        <w:t xml:space="preserve"> was a correction of the application of existing law, its holding should apply to Kamala Creighton’s case and she should be</w:t>
      </w:r>
      <w:r w:rsidR="001E1964">
        <w:t xml:space="preserve"> granted post conviction relief</w:t>
      </w:r>
      <w:r w:rsidRPr="00B167E6">
        <w:t xml:space="preserve">. </w:t>
      </w:r>
    </w:p>
    <w:p w:rsidR="00511668" w:rsidRPr="00B167E6" w:rsidRDefault="00511668" w:rsidP="00511668">
      <w:pPr>
        <w:spacing w:line="480" w:lineRule="auto"/>
        <w:jc w:val="center"/>
        <w:rPr>
          <w:b/>
          <w:bCs/>
        </w:rPr>
      </w:pPr>
      <w:r w:rsidRPr="00B167E6">
        <w:rPr>
          <w:b/>
          <w:bCs/>
        </w:rPr>
        <w:t xml:space="preserve">SECOND GROUND FOR POST CONVICTION RELIEF: </w:t>
      </w:r>
    </w:p>
    <w:p w:rsidR="00511668" w:rsidRPr="00B167E6" w:rsidRDefault="00511668" w:rsidP="0051166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7E6">
        <w:rPr>
          <w:rFonts w:ascii="Times New Roman" w:hAnsi="Times New Roman" w:cs="Times New Roman"/>
          <w:b/>
          <w:bCs/>
          <w:sz w:val="24"/>
          <w:szCs w:val="24"/>
        </w:rPr>
        <w:t>TRIAL COUNSEL RENDERED INEFFECTIVE ASSISTANCE OF COUNSEL BY PROVIDING ERRONEOUS ADVICE REGARDING THE IMMIGRATION CONSEQUENCES OF THE GUILTY PLEA</w:t>
      </w:r>
    </w:p>
    <w:p w:rsidR="00511668" w:rsidRPr="00B167E6" w:rsidRDefault="00511668" w:rsidP="003D4338">
      <w:pPr>
        <w:spacing w:line="480" w:lineRule="auto"/>
      </w:pPr>
    </w:p>
    <w:p w:rsidR="00E7459A" w:rsidRPr="00B167E6" w:rsidRDefault="00511668" w:rsidP="003D4338">
      <w:pPr>
        <w:spacing w:line="480" w:lineRule="auto"/>
      </w:pPr>
      <w:r w:rsidRPr="00B167E6">
        <w:tab/>
        <w:t>Pre</w:t>
      </w:r>
      <w:r w:rsidR="00E7459A" w:rsidRPr="00B167E6">
        <w:t>-</w:t>
      </w:r>
      <w:r w:rsidR="00E7459A" w:rsidRPr="00B167E6">
        <w:rPr>
          <w:u w:val="single"/>
        </w:rPr>
        <w:t>Padilla</w:t>
      </w:r>
      <w:r w:rsidR="00E7459A" w:rsidRPr="00B167E6">
        <w:t xml:space="preserve"> decisions in South Carolina have said that counsel does not have any obligation, for purposes of ineffective assistance of counsel claims, to give any advice regarding collateral consequences.</w:t>
      </w:r>
      <w:r w:rsidR="00000091" w:rsidRPr="00B167E6">
        <w:t xml:space="preserve">  </w:t>
      </w:r>
      <w:r w:rsidR="00E7459A" w:rsidRPr="00B167E6">
        <w:rPr>
          <w:u w:val="single"/>
        </w:rPr>
        <w:t>Smith v. State</w:t>
      </w:r>
      <w:r w:rsidR="00E7459A" w:rsidRPr="00B167E6">
        <w:t>, 329 S.C. 280 (1997) (where counsel gave no advice regarding the fact that plea was to a violent offense, there were no grounds for post-conviction relief becaus</w:t>
      </w:r>
      <w:r w:rsidR="00000091" w:rsidRPr="00B167E6">
        <w:t xml:space="preserve">e it was a collateral matter).  </w:t>
      </w:r>
      <w:r w:rsidR="00E7459A" w:rsidRPr="00B167E6">
        <w:t>However, where counsel undertakes to give advice on a collateral consequence and that advice is erroneous, it is grounds for post-conviction relief.</w:t>
      </w:r>
      <w:r w:rsidR="00000091" w:rsidRPr="00B167E6">
        <w:t xml:space="preserve">  </w:t>
      </w:r>
      <w:proofErr w:type="gramStart"/>
      <w:r w:rsidR="00E7459A" w:rsidRPr="00B167E6">
        <w:rPr>
          <w:u w:val="single"/>
        </w:rPr>
        <w:t>Hinson v. State</w:t>
      </w:r>
      <w:r w:rsidR="00E7459A" w:rsidRPr="00B167E6">
        <w:t>, 297 S.C. 456 (1989).</w:t>
      </w:r>
      <w:proofErr w:type="gramEnd"/>
      <w:r w:rsidR="00E7459A" w:rsidRPr="00B167E6">
        <w:t xml:space="preserve"> </w:t>
      </w:r>
    </w:p>
    <w:p w:rsidR="00E7459A" w:rsidRPr="00B167E6" w:rsidRDefault="00E7459A" w:rsidP="00A11327">
      <w:pPr>
        <w:spacing w:line="480" w:lineRule="auto"/>
        <w:ind w:firstLine="720"/>
      </w:pPr>
      <w:r w:rsidRPr="00B167E6">
        <w:t>Kamala was very concerned about the possibility of her criminal charge affecting her immigration status, and asked trial counsel what the immi</w:t>
      </w:r>
      <w:r w:rsidR="00000091" w:rsidRPr="00B167E6">
        <w:t xml:space="preserve">gration consequences would be.  </w:t>
      </w:r>
      <w:r w:rsidRPr="00B167E6">
        <w:t>Trial counsel incorrectly advised Kamala that a guilty plea to possession with intent to distribute marijuana would not result in the remo</w:t>
      </w:r>
      <w:r w:rsidR="00C51886" w:rsidRPr="00B167E6">
        <w:t>val of her temporary work visa.</w:t>
      </w:r>
      <w:r w:rsidR="00000091" w:rsidRPr="00B167E6">
        <w:t xml:space="preserve">  </w:t>
      </w:r>
      <w:r w:rsidRPr="00B167E6">
        <w:t>If Kamala had known that she would not only be barred from obtaining citizenship, but could potentially be deported, she would not have entered a guilty plea, and she would have proceeded to trial in her case.</w:t>
      </w:r>
    </w:p>
    <w:p w:rsidR="00E7459A" w:rsidRPr="00B167E6" w:rsidRDefault="00E7459A" w:rsidP="003D4338"/>
    <w:p w:rsidR="00E7459A" w:rsidRPr="00B167E6" w:rsidRDefault="00E7459A" w:rsidP="003D4338">
      <w:pPr>
        <w:jc w:val="center"/>
        <w:rPr>
          <w:b/>
          <w:bCs/>
        </w:rPr>
      </w:pPr>
      <w:r w:rsidRPr="00B167E6">
        <w:rPr>
          <w:b/>
          <w:bCs/>
        </w:rPr>
        <w:t>CONCLUSION</w:t>
      </w:r>
    </w:p>
    <w:p w:rsidR="00E7459A" w:rsidRPr="00B167E6" w:rsidRDefault="00E7459A" w:rsidP="003D4338">
      <w:pPr>
        <w:rPr>
          <w:b/>
          <w:bCs/>
        </w:rPr>
      </w:pPr>
    </w:p>
    <w:p w:rsidR="00E7459A" w:rsidRPr="00B167E6" w:rsidRDefault="00E7459A" w:rsidP="003D4338">
      <w:pPr>
        <w:rPr>
          <w:b/>
          <w:bCs/>
        </w:rPr>
      </w:pPr>
    </w:p>
    <w:p w:rsidR="00E7459A" w:rsidRPr="00B167E6" w:rsidRDefault="00E7459A" w:rsidP="003D4338">
      <w:pPr>
        <w:spacing w:line="480" w:lineRule="auto"/>
      </w:pPr>
      <w:r w:rsidRPr="00B167E6">
        <w:rPr>
          <w:b/>
          <w:bCs/>
        </w:rPr>
        <w:tab/>
      </w:r>
      <w:r w:rsidR="00790928">
        <w:rPr>
          <w:bCs/>
        </w:rPr>
        <w:t xml:space="preserve">The holding of the United States Supreme Court in </w:t>
      </w:r>
      <w:r w:rsidR="00790928" w:rsidRPr="00790928">
        <w:rPr>
          <w:bCs/>
          <w:u w:val="single"/>
        </w:rPr>
        <w:t>Padilla v. Kentucky</w:t>
      </w:r>
      <w:r w:rsidR="00790928">
        <w:rPr>
          <w:bCs/>
        </w:rPr>
        <w:t xml:space="preserve"> should apply retroactively to Kamala Creighton and she should be granted post-conviction relief.  Even if it does not, </w:t>
      </w:r>
      <w:r w:rsidRPr="00B167E6">
        <w:t xml:space="preserve">Kamala Creighton’s trial counsel rendered ineffective assistance of counsel by </w:t>
      </w:r>
      <w:r w:rsidR="00790928">
        <w:t>p</w:t>
      </w:r>
      <w:r w:rsidRPr="00B167E6">
        <w:t>roviding erroneous advice as to the potential immigration consequences of a guilty plea to possession with intent to distribute marijuana</w:t>
      </w:r>
      <w:r w:rsidR="00000091" w:rsidRPr="00B167E6">
        <w:t xml:space="preserve">.  </w:t>
      </w:r>
      <w:r w:rsidRPr="00B167E6">
        <w:t>Kamala would have elected to not plead guilty and proceed to t</w:t>
      </w:r>
      <w:r w:rsidR="00790928">
        <w:t xml:space="preserve">rial but for counsel’s advice, and she should be granted post-conviction relief.  </w:t>
      </w:r>
    </w:p>
    <w:p w:rsidR="00E7459A" w:rsidRPr="00B167E6" w:rsidRDefault="00E7459A" w:rsidP="003D4338">
      <w:pPr>
        <w:spacing w:line="480" w:lineRule="auto"/>
      </w:pPr>
    </w:p>
    <w:p w:rsidR="00E7459A" w:rsidRPr="00B167E6" w:rsidRDefault="00E7459A" w:rsidP="003D4338">
      <w:pPr>
        <w:widowControl w:val="0"/>
        <w:autoSpaceDE w:val="0"/>
        <w:autoSpaceDN w:val="0"/>
        <w:adjustRightInd w:val="0"/>
        <w:ind w:left="4320" w:firstLine="720"/>
      </w:pPr>
      <w:r w:rsidRPr="00B167E6">
        <w:t>Respectfully submitted,</w:t>
      </w:r>
    </w:p>
    <w:p w:rsidR="00E7459A" w:rsidRPr="00B167E6" w:rsidRDefault="00E7459A" w:rsidP="003D4338">
      <w:pPr>
        <w:widowControl w:val="0"/>
        <w:autoSpaceDE w:val="0"/>
        <w:autoSpaceDN w:val="0"/>
        <w:adjustRightInd w:val="0"/>
      </w:pPr>
      <w:r w:rsidRPr="00B167E6">
        <w:tab/>
      </w:r>
      <w:r w:rsidRPr="00B167E6">
        <w:tab/>
      </w:r>
      <w:r w:rsidRPr="00B167E6">
        <w:tab/>
      </w:r>
      <w:r w:rsidRPr="00B167E6">
        <w:tab/>
      </w:r>
      <w:r w:rsidRPr="00B167E6">
        <w:tab/>
      </w:r>
    </w:p>
    <w:p w:rsidR="00E7459A" w:rsidRPr="00B167E6" w:rsidRDefault="00E7459A" w:rsidP="003D4338">
      <w:pPr>
        <w:widowControl w:val="0"/>
        <w:autoSpaceDE w:val="0"/>
        <w:autoSpaceDN w:val="0"/>
        <w:adjustRightInd w:val="0"/>
      </w:pPr>
    </w:p>
    <w:p w:rsidR="00E7459A" w:rsidRDefault="00E7459A" w:rsidP="003D4338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firstLine="2880"/>
      </w:pPr>
      <w:r w:rsidRPr="00B167E6">
        <w:tab/>
        <w:t>________________________</w:t>
      </w:r>
      <w:r w:rsidRPr="00B167E6">
        <w:tab/>
      </w:r>
      <w:r w:rsidRPr="00B167E6">
        <w:tab/>
      </w:r>
      <w:r w:rsidRPr="00B167E6">
        <w:tab/>
      </w:r>
      <w:r w:rsidRPr="00B167E6">
        <w:tab/>
      </w:r>
      <w:r w:rsidRPr="00B167E6">
        <w:tab/>
      </w:r>
      <w:r w:rsidRPr="00B167E6">
        <w:tab/>
      </w:r>
      <w:r w:rsidRPr="00B167E6">
        <w:tab/>
        <w:t>Bobby G. Frederick</w:t>
      </w:r>
    </w:p>
    <w:p w:rsidR="00B167E6" w:rsidRPr="00B167E6" w:rsidRDefault="00B167E6" w:rsidP="003D4338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firstLine="2880"/>
      </w:pPr>
      <w:r>
        <w:tab/>
        <w:t>Frederick Law Office</w:t>
      </w:r>
    </w:p>
    <w:p w:rsidR="00E7459A" w:rsidRPr="00B167E6" w:rsidRDefault="00E7459A" w:rsidP="00B167E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firstLine="2880"/>
      </w:pPr>
      <w:r w:rsidRPr="00B167E6">
        <w:tab/>
      </w:r>
      <w:r w:rsidR="00B167E6">
        <w:t>A</w:t>
      </w:r>
      <w:r w:rsidRPr="00B167E6">
        <w:t>ttorney for the Petitioner</w:t>
      </w:r>
    </w:p>
    <w:p w:rsidR="00E7459A" w:rsidRPr="00B167E6" w:rsidRDefault="00E7459A" w:rsidP="003D433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</w:pPr>
      <w:r w:rsidRPr="00B167E6">
        <w:tab/>
      </w:r>
      <w:r w:rsidRPr="00B167E6">
        <w:tab/>
      </w:r>
      <w:r w:rsidRPr="00B167E6">
        <w:tab/>
      </w:r>
      <w:r w:rsidRPr="00B167E6">
        <w:tab/>
      </w:r>
      <w:r w:rsidRPr="00B167E6">
        <w:tab/>
      </w:r>
      <w:r w:rsidRPr="00B167E6">
        <w:tab/>
      </w:r>
      <w:r w:rsidRPr="00B167E6">
        <w:tab/>
        <w:t>P.O. Box 8219</w:t>
      </w:r>
    </w:p>
    <w:p w:rsidR="00E7459A" w:rsidRPr="00B167E6" w:rsidRDefault="00E7459A" w:rsidP="003D433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</w:pPr>
      <w:r w:rsidRPr="00B167E6">
        <w:tab/>
      </w:r>
      <w:r w:rsidRPr="00B167E6">
        <w:tab/>
      </w:r>
      <w:r w:rsidRPr="00B167E6">
        <w:tab/>
      </w:r>
      <w:r w:rsidRPr="00B167E6">
        <w:tab/>
      </w:r>
      <w:r w:rsidRPr="00B167E6">
        <w:tab/>
      </w:r>
      <w:r w:rsidRPr="00B167E6">
        <w:tab/>
      </w:r>
      <w:r w:rsidRPr="00B167E6">
        <w:tab/>
        <w:t>Myrtle Beach, S.C. 29578</w:t>
      </w:r>
    </w:p>
    <w:p w:rsidR="00E7459A" w:rsidRPr="00B167E6" w:rsidRDefault="00E7459A" w:rsidP="003D433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</w:pPr>
      <w:r w:rsidRPr="00B167E6">
        <w:tab/>
      </w:r>
      <w:r w:rsidRPr="00B167E6">
        <w:tab/>
      </w:r>
      <w:r w:rsidRPr="00B167E6">
        <w:tab/>
      </w:r>
      <w:r w:rsidRPr="00B167E6">
        <w:tab/>
      </w:r>
      <w:r w:rsidRPr="00B167E6">
        <w:tab/>
      </w:r>
      <w:r w:rsidRPr="00B167E6">
        <w:tab/>
      </w:r>
      <w:r w:rsidRPr="00B167E6">
        <w:tab/>
        <w:t>843-444-6122</w:t>
      </w:r>
    </w:p>
    <w:p w:rsidR="00E7459A" w:rsidRPr="00B167E6" w:rsidRDefault="00E7459A" w:rsidP="003D433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</w:pPr>
      <w:r w:rsidRPr="00B167E6">
        <w:tab/>
      </w:r>
      <w:r w:rsidRPr="00B167E6">
        <w:tab/>
      </w:r>
      <w:r w:rsidRPr="00B167E6">
        <w:tab/>
      </w:r>
      <w:r w:rsidRPr="00B167E6">
        <w:tab/>
      </w:r>
      <w:r w:rsidRPr="00B167E6">
        <w:tab/>
      </w:r>
      <w:r w:rsidRPr="00B167E6">
        <w:tab/>
      </w:r>
      <w:r w:rsidRPr="00B167E6">
        <w:tab/>
      </w:r>
      <w:r w:rsidRPr="00B167E6">
        <w:tab/>
      </w:r>
      <w:r w:rsidRPr="00B167E6">
        <w:tab/>
      </w:r>
    </w:p>
    <w:p w:rsidR="00E7459A" w:rsidRPr="00B167E6" w:rsidRDefault="00E7459A" w:rsidP="003D4338">
      <w:pPr>
        <w:widowControl w:val="0"/>
        <w:tabs>
          <w:tab w:val="left" w:pos="0"/>
          <w:tab w:val="left" w:pos="6480"/>
        </w:tabs>
        <w:autoSpaceDE w:val="0"/>
        <w:autoSpaceDN w:val="0"/>
        <w:adjustRightInd w:val="0"/>
      </w:pPr>
      <w:r w:rsidRPr="00B167E6">
        <w:tab/>
      </w:r>
    </w:p>
    <w:p w:rsidR="00E7459A" w:rsidRPr="00B167E6" w:rsidRDefault="00B167E6" w:rsidP="00000091">
      <w:pPr>
        <w:widowControl w:val="0"/>
        <w:autoSpaceDE w:val="0"/>
        <w:autoSpaceDN w:val="0"/>
        <w:adjustRightInd w:val="0"/>
      </w:pPr>
      <w:r w:rsidRPr="00B167E6">
        <w:t>October</w:t>
      </w:r>
      <w:r w:rsidR="00E7459A" w:rsidRPr="00B167E6">
        <w:t xml:space="preserve"> ____, 2011</w:t>
      </w:r>
    </w:p>
    <w:sectPr w:rsidR="00E7459A" w:rsidRPr="00B167E6" w:rsidSect="00C47051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B84" w:rsidRDefault="00A67B84" w:rsidP="00455E91">
      <w:r>
        <w:separator/>
      </w:r>
    </w:p>
  </w:endnote>
  <w:endnote w:type="continuationSeparator" w:id="0">
    <w:p w:rsidR="00A67B84" w:rsidRDefault="00A67B84" w:rsidP="00455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84" w:rsidRDefault="000148CC">
    <w:pPr>
      <w:pStyle w:val="Footer"/>
      <w:jc w:val="center"/>
    </w:pPr>
    <w:fldSimple w:instr=" PAGE   \* MERGEFORMAT ">
      <w:r w:rsidR="006B45AE">
        <w:rPr>
          <w:noProof/>
        </w:rPr>
        <w:t>2</w:t>
      </w:r>
    </w:fldSimple>
  </w:p>
  <w:p w:rsidR="00A67B84" w:rsidRDefault="00A67B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B84" w:rsidRDefault="00A67B84" w:rsidP="00455E91">
      <w:r>
        <w:separator/>
      </w:r>
    </w:p>
  </w:footnote>
  <w:footnote w:type="continuationSeparator" w:id="0">
    <w:p w:rsidR="00A67B84" w:rsidRDefault="00A67B84" w:rsidP="00455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D4338"/>
    <w:rsid w:val="00000091"/>
    <w:rsid w:val="000148A5"/>
    <w:rsid w:val="000148CC"/>
    <w:rsid w:val="00041940"/>
    <w:rsid w:val="00064100"/>
    <w:rsid w:val="00065AD9"/>
    <w:rsid w:val="00103B5B"/>
    <w:rsid w:val="00123202"/>
    <w:rsid w:val="001C101E"/>
    <w:rsid w:val="001C6824"/>
    <w:rsid w:val="001D0E03"/>
    <w:rsid w:val="001E1964"/>
    <w:rsid w:val="0020622E"/>
    <w:rsid w:val="002072EA"/>
    <w:rsid w:val="002100C0"/>
    <w:rsid w:val="00224259"/>
    <w:rsid w:val="0028358F"/>
    <w:rsid w:val="002979BC"/>
    <w:rsid w:val="002F1FD6"/>
    <w:rsid w:val="00300584"/>
    <w:rsid w:val="00326AA5"/>
    <w:rsid w:val="00363B4F"/>
    <w:rsid w:val="00372361"/>
    <w:rsid w:val="003B7D6C"/>
    <w:rsid w:val="003D0E8E"/>
    <w:rsid w:val="003D4338"/>
    <w:rsid w:val="004034D1"/>
    <w:rsid w:val="00426934"/>
    <w:rsid w:val="00455E91"/>
    <w:rsid w:val="004F2835"/>
    <w:rsid w:val="005033F8"/>
    <w:rsid w:val="00511668"/>
    <w:rsid w:val="00577A6C"/>
    <w:rsid w:val="005A7103"/>
    <w:rsid w:val="005E2B76"/>
    <w:rsid w:val="006064C3"/>
    <w:rsid w:val="00662AAA"/>
    <w:rsid w:val="006B45AE"/>
    <w:rsid w:val="006C1D45"/>
    <w:rsid w:val="006D53CB"/>
    <w:rsid w:val="007163C7"/>
    <w:rsid w:val="007367C6"/>
    <w:rsid w:val="00756B94"/>
    <w:rsid w:val="00790928"/>
    <w:rsid w:val="007A5EAA"/>
    <w:rsid w:val="007B3192"/>
    <w:rsid w:val="00803B03"/>
    <w:rsid w:val="00846A46"/>
    <w:rsid w:val="008A0443"/>
    <w:rsid w:val="008A2FCE"/>
    <w:rsid w:val="008F4C9E"/>
    <w:rsid w:val="00912C2D"/>
    <w:rsid w:val="00981198"/>
    <w:rsid w:val="00A11327"/>
    <w:rsid w:val="00A67B84"/>
    <w:rsid w:val="00AA07D7"/>
    <w:rsid w:val="00AE58D4"/>
    <w:rsid w:val="00AF0659"/>
    <w:rsid w:val="00B02B8D"/>
    <w:rsid w:val="00B167E6"/>
    <w:rsid w:val="00B476B9"/>
    <w:rsid w:val="00B60218"/>
    <w:rsid w:val="00B777A1"/>
    <w:rsid w:val="00BD017E"/>
    <w:rsid w:val="00BD5C1E"/>
    <w:rsid w:val="00BD721D"/>
    <w:rsid w:val="00BE216E"/>
    <w:rsid w:val="00C138D5"/>
    <w:rsid w:val="00C47051"/>
    <w:rsid w:val="00C51886"/>
    <w:rsid w:val="00CC1BBA"/>
    <w:rsid w:val="00D13910"/>
    <w:rsid w:val="00DA1595"/>
    <w:rsid w:val="00DB73D2"/>
    <w:rsid w:val="00E0469A"/>
    <w:rsid w:val="00E04B29"/>
    <w:rsid w:val="00E06C4B"/>
    <w:rsid w:val="00E710BB"/>
    <w:rsid w:val="00E7459A"/>
    <w:rsid w:val="00EE4393"/>
    <w:rsid w:val="00F41B25"/>
    <w:rsid w:val="00F65909"/>
    <w:rsid w:val="00FD252C"/>
    <w:rsid w:val="00FF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33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D4338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3D43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33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2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67E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eb2.westlaw.com/find/default.wl?rp=%2ffind%2fdefault.wl&amp;sv=Split&amp;rs=WLW11.04&amp;cite=2011+WL+2036701&amp;fn=_top&amp;mt=Westlaw&amp;vr=2.0&amp;findjuris=00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7.uscourts.gov/tmp/AV0J2TO5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1287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SOUTH CAROLINA</vt:lpstr>
    </vt:vector>
  </TitlesOfParts>
  <Company/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SOUTH CAROLINA</dc:title>
  <dc:creator>front desk</dc:creator>
  <cp:lastModifiedBy>Bobby G. Frederick</cp:lastModifiedBy>
  <cp:revision>2</cp:revision>
  <cp:lastPrinted>2011-10-18T22:33:00Z</cp:lastPrinted>
  <dcterms:created xsi:type="dcterms:W3CDTF">2013-07-22T19:45:00Z</dcterms:created>
  <dcterms:modified xsi:type="dcterms:W3CDTF">2013-07-22T19:45:00Z</dcterms:modified>
</cp:coreProperties>
</file>