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C4B" w:rsidRPr="00C47051" w:rsidRDefault="00E05C4B" w:rsidP="00E05C4B">
      <w:pPr>
        <w:widowControl w:val="0"/>
        <w:autoSpaceDE w:val="0"/>
        <w:autoSpaceDN w:val="0"/>
        <w:adjustRightInd w:val="0"/>
        <w:rPr>
          <w:b/>
          <w:bCs/>
          <w:sz w:val="23"/>
          <w:szCs w:val="23"/>
        </w:rPr>
      </w:pPr>
      <w:r w:rsidRPr="00C47051">
        <w:rPr>
          <w:b/>
          <w:bCs/>
          <w:sz w:val="23"/>
          <w:szCs w:val="23"/>
        </w:rPr>
        <w:t>STATE OF SOUTH CAROLINA</w:t>
      </w:r>
      <w:r w:rsidRPr="00C47051">
        <w:rPr>
          <w:b/>
          <w:bCs/>
          <w:sz w:val="23"/>
          <w:szCs w:val="23"/>
        </w:rPr>
        <w:tab/>
        <w:t>)</w:t>
      </w:r>
      <w:r w:rsidRPr="00C47051">
        <w:rPr>
          <w:b/>
          <w:bCs/>
          <w:sz w:val="23"/>
          <w:szCs w:val="23"/>
        </w:rPr>
        <w:tab/>
        <w:t xml:space="preserve">IN THE COURT OF COMMON PLEAS </w:t>
      </w:r>
    </w:p>
    <w:p w:rsidR="00E05C4B" w:rsidRPr="00C47051" w:rsidRDefault="00E05C4B" w:rsidP="00E05C4B">
      <w:pPr>
        <w:widowControl w:val="0"/>
        <w:autoSpaceDE w:val="0"/>
        <w:autoSpaceDN w:val="0"/>
        <w:adjustRightInd w:val="0"/>
        <w:rPr>
          <w:b/>
          <w:bCs/>
          <w:sz w:val="23"/>
          <w:szCs w:val="23"/>
        </w:rPr>
      </w:pP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t>)</w:t>
      </w:r>
      <w:r w:rsidRPr="00C47051">
        <w:rPr>
          <w:b/>
          <w:bCs/>
          <w:sz w:val="23"/>
          <w:szCs w:val="23"/>
        </w:rPr>
        <w:tab/>
      </w:r>
    </w:p>
    <w:p w:rsidR="00E05C4B" w:rsidRPr="00C47051" w:rsidRDefault="00E05C4B" w:rsidP="00E05C4B">
      <w:pPr>
        <w:widowControl w:val="0"/>
        <w:tabs>
          <w:tab w:val="left" w:pos="720"/>
          <w:tab w:val="left" w:pos="1440"/>
          <w:tab w:val="left" w:pos="2160"/>
          <w:tab w:val="left" w:pos="2880"/>
          <w:tab w:val="left" w:pos="3600"/>
          <w:tab w:val="left" w:pos="4320"/>
        </w:tabs>
        <w:autoSpaceDE w:val="0"/>
        <w:autoSpaceDN w:val="0"/>
        <w:adjustRightInd w:val="0"/>
        <w:ind w:left="4320" w:hanging="4320"/>
        <w:rPr>
          <w:b/>
          <w:bCs/>
          <w:sz w:val="23"/>
          <w:szCs w:val="23"/>
        </w:rPr>
      </w:pPr>
      <w:r w:rsidRPr="00C47051">
        <w:rPr>
          <w:b/>
          <w:bCs/>
          <w:sz w:val="23"/>
          <w:szCs w:val="23"/>
        </w:rPr>
        <w:t>COUNTY OF FLORENCE</w:t>
      </w:r>
      <w:r w:rsidRPr="00C47051">
        <w:rPr>
          <w:b/>
          <w:bCs/>
          <w:sz w:val="23"/>
          <w:szCs w:val="23"/>
        </w:rPr>
        <w:tab/>
      </w:r>
      <w:r w:rsidRPr="00C47051">
        <w:rPr>
          <w:b/>
          <w:bCs/>
          <w:sz w:val="23"/>
          <w:szCs w:val="23"/>
        </w:rPr>
        <w:tab/>
        <w:t>)</w:t>
      </w:r>
    </w:p>
    <w:p w:rsidR="00E05C4B" w:rsidRPr="00C47051" w:rsidRDefault="00E05C4B" w:rsidP="00E05C4B">
      <w:pPr>
        <w:widowControl w:val="0"/>
        <w:autoSpaceDE w:val="0"/>
        <w:autoSpaceDN w:val="0"/>
        <w:adjustRightInd w:val="0"/>
        <w:rPr>
          <w:b/>
          <w:bCs/>
          <w:sz w:val="23"/>
          <w:szCs w:val="23"/>
        </w:rPr>
      </w:pP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t>)</w:t>
      </w:r>
      <w:r w:rsidRPr="00C47051">
        <w:rPr>
          <w:b/>
          <w:bCs/>
          <w:sz w:val="23"/>
          <w:szCs w:val="23"/>
        </w:rPr>
        <w:tab/>
      </w:r>
    </w:p>
    <w:p w:rsidR="00E05C4B" w:rsidRPr="00C47051" w:rsidRDefault="00EE6D03" w:rsidP="00E05C4B">
      <w:pPr>
        <w:widowControl w:val="0"/>
        <w:autoSpaceDE w:val="0"/>
        <w:autoSpaceDN w:val="0"/>
        <w:adjustRightInd w:val="0"/>
        <w:rPr>
          <w:b/>
          <w:bCs/>
          <w:sz w:val="23"/>
          <w:szCs w:val="23"/>
        </w:rPr>
      </w:pPr>
      <w:proofErr w:type="spellStart"/>
      <w:r>
        <w:rPr>
          <w:b/>
          <w:bCs/>
          <w:sz w:val="23"/>
          <w:szCs w:val="23"/>
        </w:rPr>
        <w:t>Xxxxx</w:t>
      </w:r>
      <w:proofErr w:type="spellEnd"/>
      <w:r w:rsidR="00E05C4B" w:rsidRPr="00C47051">
        <w:rPr>
          <w:b/>
          <w:bCs/>
          <w:sz w:val="23"/>
          <w:szCs w:val="23"/>
        </w:rPr>
        <w:t xml:space="preserve"> </w:t>
      </w:r>
      <w:proofErr w:type="spellStart"/>
      <w:r>
        <w:rPr>
          <w:b/>
          <w:bCs/>
          <w:sz w:val="23"/>
          <w:szCs w:val="23"/>
        </w:rPr>
        <w:t>Xxxxx</w:t>
      </w:r>
      <w:proofErr w:type="spellEnd"/>
      <w:r w:rsidR="00E05C4B" w:rsidRPr="00C47051">
        <w:rPr>
          <w:b/>
          <w:bCs/>
          <w:sz w:val="23"/>
          <w:szCs w:val="23"/>
        </w:rPr>
        <w:t xml:space="preserve"> </w:t>
      </w:r>
      <w:proofErr w:type="spellStart"/>
      <w:r>
        <w:rPr>
          <w:b/>
          <w:bCs/>
          <w:sz w:val="23"/>
          <w:szCs w:val="23"/>
        </w:rPr>
        <w:t>Xxxxx</w:t>
      </w:r>
      <w:proofErr w:type="spellEnd"/>
      <w:r w:rsidR="00E05C4B" w:rsidRPr="00C47051">
        <w:rPr>
          <w:b/>
          <w:bCs/>
          <w:sz w:val="23"/>
          <w:szCs w:val="23"/>
        </w:rPr>
        <w:tab/>
      </w:r>
      <w:r w:rsidR="00E05C4B" w:rsidRPr="00C47051">
        <w:rPr>
          <w:b/>
          <w:bCs/>
          <w:sz w:val="23"/>
          <w:szCs w:val="23"/>
        </w:rPr>
        <w:tab/>
      </w:r>
      <w:r>
        <w:rPr>
          <w:b/>
          <w:bCs/>
          <w:sz w:val="23"/>
          <w:szCs w:val="23"/>
        </w:rPr>
        <w:tab/>
      </w:r>
      <w:r w:rsidR="00E05C4B" w:rsidRPr="00C47051">
        <w:rPr>
          <w:b/>
          <w:bCs/>
          <w:sz w:val="23"/>
          <w:szCs w:val="23"/>
        </w:rPr>
        <w:t>)</w:t>
      </w:r>
      <w:r w:rsidR="00E05C4B" w:rsidRPr="00C47051">
        <w:rPr>
          <w:b/>
          <w:bCs/>
          <w:sz w:val="23"/>
          <w:szCs w:val="23"/>
        </w:rPr>
        <w:tab/>
      </w:r>
    </w:p>
    <w:p w:rsidR="00E05C4B" w:rsidRPr="00C47051" w:rsidRDefault="00E05C4B" w:rsidP="00E05C4B">
      <w:pPr>
        <w:widowControl w:val="0"/>
        <w:autoSpaceDE w:val="0"/>
        <w:autoSpaceDN w:val="0"/>
        <w:adjustRightInd w:val="0"/>
        <w:rPr>
          <w:b/>
          <w:bCs/>
          <w:sz w:val="23"/>
          <w:szCs w:val="23"/>
        </w:rPr>
      </w:pP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t>)</w:t>
      </w:r>
      <w:r w:rsidRPr="00C47051">
        <w:rPr>
          <w:b/>
          <w:bCs/>
          <w:sz w:val="23"/>
          <w:szCs w:val="23"/>
        </w:rPr>
        <w:tab/>
      </w:r>
      <w:r w:rsidR="009118CD" w:rsidRPr="00C47051">
        <w:rPr>
          <w:b/>
          <w:bCs/>
          <w:sz w:val="23"/>
          <w:szCs w:val="23"/>
        </w:rPr>
        <w:t xml:space="preserve">SUPPLEMENT TO </w:t>
      </w:r>
      <w:r w:rsidRPr="00C47051">
        <w:rPr>
          <w:b/>
          <w:bCs/>
          <w:sz w:val="23"/>
          <w:szCs w:val="23"/>
        </w:rPr>
        <w:t xml:space="preserve">APPLICATION FOR  </w:t>
      </w:r>
    </w:p>
    <w:p w:rsidR="00E05C4B" w:rsidRPr="00C47051" w:rsidRDefault="00E05C4B" w:rsidP="00E05C4B">
      <w:pPr>
        <w:widowControl w:val="0"/>
        <w:autoSpaceDE w:val="0"/>
        <w:autoSpaceDN w:val="0"/>
        <w:adjustRightInd w:val="0"/>
        <w:ind w:firstLine="720"/>
        <w:rPr>
          <w:b/>
          <w:bCs/>
          <w:sz w:val="23"/>
          <w:szCs w:val="23"/>
        </w:rPr>
      </w:pPr>
      <w:r w:rsidRPr="00C47051">
        <w:rPr>
          <w:b/>
          <w:bCs/>
          <w:sz w:val="23"/>
          <w:szCs w:val="23"/>
        </w:rPr>
        <w:t>v.</w:t>
      </w: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t>)</w:t>
      </w:r>
      <w:r w:rsidRPr="00C47051">
        <w:rPr>
          <w:b/>
          <w:bCs/>
          <w:sz w:val="23"/>
          <w:szCs w:val="23"/>
        </w:rPr>
        <w:tab/>
        <w:t>POST-CONVICTION RELIEF</w:t>
      </w:r>
      <w:r w:rsidR="009118CD" w:rsidRPr="00C47051">
        <w:rPr>
          <w:b/>
          <w:bCs/>
          <w:sz w:val="23"/>
          <w:szCs w:val="23"/>
        </w:rPr>
        <w:t xml:space="preserve"> AND </w:t>
      </w:r>
    </w:p>
    <w:p w:rsidR="00E05C4B" w:rsidRPr="00C47051" w:rsidRDefault="009118CD" w:rsidP="00E05C4B">
      <w:pPr>
        <w:widowControl w:val="0"/>
        <w:autoSpaceDE w:val="0"/>
        <w:autoSpaceDN w:val="0"/>
        <w:adjustRightInd w:val="0"/>
        <w:rPr>
          <w:b/>
          <w:bCs/>
          <w:sz w:val="23"/>
          <w:szCs w:val="23"/>
        </w:rPr>
      </w:pP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r>
      <w:r w:rsidRPr="00C47051">
        <w:rPr>
          <w:b/>
          <w:bCs/>
          <w:sz w:val="23"/>
          <w:szCs w:val="23"/>
        </w:rPr>
        <w:tab/>
        <w:t>)</w:t>
      </w:r>
      <w:r w:rsidRPr="00C47051">
        <w:rPr>
          <w:b/>
          <w:bCs/>
          <w:sz w:val="23"/>
          <w:szCs w:val="23"/>
        </w:rPr>
        <w:tab/>
        <w:t>INCORPORATED MEMORANDUM OF LAW</w:t>
      </w:r>
    </w:p>
    <w:p w:rsidR="00E05C4B" w:rsidRPr="00C47051" w:rsidRDefault="00E05C4B" w:rsidP="00E05C4B">
      <w:pPr>
        <w:widowControl w:val="0"/>
        <w:rPr>
          <w:b/>
          <w:bCs/>
          <w:sz w:val="23"/>
          <w:szCs w:val="23"/>
        </w:rPr>
      </w:pPr>
      <w:proofErr w:type="gramStart"/>
      <w:r w:rsidRPr="00C47051">
        <w:rPr>
          <w:b/>
          <w:bCs/>
          <w:sz w:val="23"/>
          <w:szCs w:val="23"/>
        </w:rPr>
        <w:t xml:space="preserve">State of South </w:t>
      </w:r>
      <w:r w:rsidR="00C47051">
        <w:rPr>
          <w:b/>
          <w:bCs/>
          <w:sz w:val="23"/>
          <w:szCs w:val="23"/>
        </w:rPr>
        <w:t>Carolina.</w:t>
      </w:r>
      <w:proofErr w:type="gramEnd"/>
      <w:r w:rsidR="00C47051">
        <w:rPr>
          <w:b/>
          <w:bCs/>
          <w:sz w:val="23"/>
          <w:szCs w:val="23"/>
        </w:rPr>
        <w:t xml:space="preserve">                     </w:t>
      </w:r>
      <w:r w:rsidRPr="00C47051">
        <w:rPr>
          <w:b/>
          <w:bCs/>
          <w:sz w:val="23"/>
          <w:szCs w:val="23"/>
        </w:rPr>
        <w:t xml:space="preserve"> )</w:t>
      </w:r>
      <w:r w:rsidRPr="00C47051">
        <w:rPr>
          <w:b/>
          <w:bCs/>
          <w:sz w:val="23"/>
          <w:szCs w:val="23"/>
        </w:rPr>
        <w:tab/>
      </w:r>
    </w:p>
    <w:p w:rsidR="00E05C4B" w:rsidRPr="00C47051" w:rsidRDefault="00E05C4B" w:rsidP="00E05C4B">
      <w:pPr>
        <w:widowControl w:val="0"/>
        <w:autoSpaceDE w:val="0"/>
        <w:autoSpaceDN w:val="0"/>
        <w:adjustRightInd w:val="0"/>
        <w:rPr>
          <w:bCs/>
          <w:sz w:val="23"/>
          <w:szCs w:val="23"/>
        </w:rPr>
      </w:pPr>
      <w:r w:rsidRPr="00C47051">
        <w:rPr>
          <w:b/>
          <w:bCs/>
          <w:sz w:val="23"/>
          <w:szCs w:val="23"/>
        </w:rPr>
        <w:tab/>
      </w:r>
      <w:r w:rsidRPr="00C47051">
        <w:rPr>
          <w:b/>
          <w:bCs/>
          <w:sz w:val="23"/>
          <w:szCs w:val="23"/>
        </w:rPr>
        <w:tab/>
      </w:r>
      <w:r w:rsidRPr="00C47051">
        <w:rPr>
          <w:b/>
          <w:bCs/>
          <w:sz w:val="23"/>
          <w:szCs w:val="23"/>
        </w:rPr>
        <w:tab/>
        <w:t xml:space="preserve"> </w:t>
      </w:r>
      <w:r w:rsidRPr="00C47051">
        <w:rPr>
          <w:b/>
          <w:bCs/>
          <w:sz w:val="23"/>
          <w:szCs w:val="23"/>
        </w:rPr>
        <w:tab/>
        <w:t xml:space="preserve">      </w:t>
      </w:r>
      <w:r w:rsidRPr="00C47051">
        <w:rPr>
          <w:b/>
          <w:bCs/>
          <w:sz w:val="23"/>
          <w:szCs w:val="23"/>
        </w:rPr>
        <w:tab/>
        <w:t xml:space="preserve">)  </w:t>
      </w:r>
    </w:p>
    <w:p w:rsidR="00E05C4B" w:rsidRPr="00C47051" w:rsidRDefault="00E05C4B" w:rsidP="00E05C4B">
      <w:pPr>
        <w:widowControl w:val="0"/>
        <w:autoSpaceDE w:val="0"/>
        <w:autoSpaceDN w:val="0"/>
        <w:adjustRightInd w:val="0"/>
        <w:rPr>
          <w:bCs/>
          <w:sz w:val="23"/>
          <w:szCs w:val="23"/>
        </w:rPr>
      </w:pPr>
      <w:r w:rsidRPr="00C47051">
        <w:rPr>
          <w:b/>
          <w:bCs/>
          <w:sz w:val="23"/>
          <w:szCs w:val="23"/>
        </w:rPr>
        <w:t xml:space="preserve">                      </w:t>
      </w:r>
      <w:r w:rsidRPr="00C47051">
        <w:rPr>
          <w:b/>
          <w:bCs/>
          <w:sz w:val="23"/>
          <w:szCs w:val="23"/>
        </w:rPr>
        <w:tab/>
      </w:r>
      <w:r w:rsidRPr="00C47051">
        <w:rPr>
          <w:b/>
          <w:bCs/>
          <w:sz w:val="23"/>
          <w:szCs w:val="23"/>
        </w:rPr>
        <w:tab/>
        <w:t xml:space="preserve">      </w:t>
      </w:r>
      <w:r w:rsidRPr="00C47051">
        <w:rPr>
          <w:b/>
          <w:bCs/>
          <w:sz w:val="23"/>
          <w:szCs w:val="23"/>
        </w:rPr>
        <w:tab/>
      </w:r>
      <w:r w:rsidRPr="00C47051">
        <w:rPr>
          <w:b/>
          <w:bCs/>
          <w:sz w:val="23"/>
          <w:szCs w:val="23"/>
        </w:rPr>
        <w:tab/>
        <w:t>)</w:t>
      </w:r>
      <w:r w:rsidRPr="00C47051">
        <w:rPr>
          <w:b/>
          <w:bCs/>
          <w:sz w:val="23"/>
          <w:szCs w:val="23"/>
        </w:rPr>
        <w:tab/>
      </w:r>
      <w:r w:rsidRPr="00C47051">
        <w:rPr>
          <w:b/>
          <w:bCs/>
          <w:sz w:val="23"/>
          <w:szCs w:val="23"/>
        </w:rPr>
        <w:tab/>
        <w:t xml:space="preserve">  </w:t>
      </w:r>
      <w:r w:rsidRPr="00C47051">
        <w:rPr>
          <w:bCs/>
          <w:sz w:val="23"/>
          <w:szCs w:val="23"/>
        </w:rPr>
        <w:t xml:space="preserve"> </w:t>
      </w:r>
    </w:p>
    <w:p w:rsidR="00E05C4B" w:rsidRPr="00C47051" w:rsidRDefault="00E05C4B" w:rsidP="00E05C4B">
      <w:pPr>
        <w:rPr>
          <w:b/>
          <w:bCs/>
          <w:sz w:val="23"/>
          <w:szCs w:val="23"/>
        </w:rPr>
      </w:pPr>
      <w:r w:rsidRPr="00C47051">
        <w:rPr>
          <w:b/>
          <w:bCs/>
          <w:sz w:val="23"/>
          <w:szCs w:val="23"/>
        </w:rPr>
        <w:t>______________________________</w:t>
      </w:r>
      <w:r w:rsidR="00C47051">
        <w:rPr>
          <w:b/>
          <w:bCs/>
          <w:sz w:val="23"/>
          <w:szCs w:val="23"/>
        </w:rPr>
        <w:t>_</w:t>
      </w:r>
      <w:r w:rsidRPr="00C47051">
        <w:rPr>
          <w:b/>
          <w:bCs/>
          <w:sz w:val="23"/>
          <w:szCs w:val="23"/>
        </w:rPr>
        <w:t>)</w:t>
      </w:r>
      <w:r w:rsidRPr="00C47051">
        <w:rPr>
          <w:b/>
          <w:bCs/>
          <w:sz w:val="23"/>
          <w:szCs w:val="23"/>
        </w:rPr>
        <w:tab/>
      </w:r>
    </w:p>
    <w:p w:rsidR="00E05C4B" w:rsidRPr="00C47051" w:rsidRDefault="00E05C4B" w:rsidP="00E05C4B">
      <w:pPr>
        <w:rPr>
          <w:sz w:val="23"/>
          <w:szCs w:val="23"/>
        </w:rPr>
      </w:pPr>
    </w:p>
    <w:p w:rsidR="00E05C4B" w:rsidRPr="00C47051" w:rsidRDefault="00E05C4B" w:rsidP="00180ECF">
      <w:pPr>
        <w:spacing w:line="480" w:lineRule="auto"/>
        <w:rPr>
          <w:sz w:val="23"/>
          <w:szCs w:val="23"/>
        </w:rPr>
      </w:pPr>
      <w:r w:rsidRPr="00C47051">
        <w:rPr>
          <w:sz w:val="23"/>
          <w:szCs w:val="23"/>
        </w:rPr>
        <w:tab/>
        <w:t xml:space="preserve">Petitioner </w:t>
      </w:r>
      <w:proofErr w:type="spellStart"/>
      <w:r w:rsidR="00EE6D03">
        <w:rPr>
          <w:sz w:val="23"/>
          <w:szCs w:val="23"/>
        </w:rPr>
        <w:t>Xxxxx</w:t>
      </w:r>
      <w:proofErr w:type="spellEnd"/>
      <w:r w:rsidRPr="00C47051">
        <w:rPr>
          <w:sz w:val="23"/>
          <w:szCs w:val="23"/>
        </w:rPr>
        <w:t xml:space="preserve"> </w:t>
      </w:r>
      <w:proofErr w:type="spellStart"/>
      <w:r w:rsidR="00EE6D03">
        <w:rPr>
          <w:sz w:val="23"/>
          <w:szCs w:val="23"/>
        </w:rPr>
        <w:t>Xxxxx</w:t>
      </w:r>
      <w:proofErr w:type="spellEnd"/>
      <w:r w:rsidRPr="00C47051">
        <w:rPr>
          <w:sz w:val="23"/>
          <w:szCs w:val="23"/>
        </w:rPr>
        <w:t xml:space="preserve"> </w:t>
      </w:r>
      <w:proofErr w:type="spellStart"/>
      <w:r w:rsidR="00EE6D03">
        <w:rPr>
          <w:sz w:val="23"/>
          <w:szCs w:val="23"/>
        </w:rPr>
        <w:t>Xxxxx</w:t>
      </w:r>
      <w:proofErr w:type="spellEnd"/>
      <w:r w:rsidRPr="00C47051">
        <w:rPr>
          <w:sz w:val="23"/>
          <w:szCs w:val="23"/>
        </w:rPr>
        <w:t xml:space="preserve">, by and through his counsel, </w:t>
      </w:r>
      <w:r w:rsidR="007A5EAA">
        <w:rPr>
          <w:sz w:val="23"/>
          <w:szCs w:val="23"/>
        </w:rPr>
        <w:t>respectfully requests that the C</w:t>
      </w:r>
      <w:r w:rsidRPr="00C47051">
        <w:rPr>
          <w:sz w:val="23"/>
          <w:szCs w:val="23"/>
        </w:rPr>
        <w:t>ourt grant his petition for post-conviction relief, on the following grounds:</w:t>
      </w:r>
    </w:p>
    <w:p w:rsidR="006C0647" w:rsidRPr="00C47051" w:rsidRDefault="006C0647" w:rsidP="006C0647">
      <w:pPr>
        <w:rPr>
          <w:sz w:val="23"/>
          <w:szCs w:val="23"/>
        </w:rPr>
      </w:pPr>
    </w:p>
    <w:p w:rsidR="009118CD" w:rsidRPr="007A5EAA" w:rsidRDefault="00A95A37" w:rsidP="006C0647">
      <w:pPr>
        <w:jc w:val="center"/>
        <w:rPr>
          <w:rFonts w:asciiTheme="minorHAnsi" w:hAnsiTheme="minorHAnsi"/>
          <w:b/>
          <w:sz w:val="23"/>
          <w:szCs w:val="23"/>
        </w:rPr>
      </w:pPr>
      <w:r w:rsidRPr="00C47051">
        <w:rPr>
          <w:b/>
          <w:sz w:val="23"/>
          <w:szCs w:val="23"/>
        </w:rPr>
        <w:t>JURISDICTIONAL STATEMENT</w:t>
      </w:r>
    </w:p>
    <w:p w:rsidR="006C0647" w:rsidRPr="00C47051" w:rsidRDefault="006C0647" w:rsidP="006C0647">
      <w:pPr>
        <w:jc w:val="center"/>
        <w:rPr>
          <w:b/>
          <w:sz w:val="23"/>
          <w:szCs w:val="23"/>
        </w:rPr>
      </w:pPr>
    </w:p>
    <w:p w:rsidR="006C0647" w:rsidRPr="00C47051" w:rsidRDefault="006C0647" w:rsidP="006C0647">
      <w:pPr>
        <w:jc w:val="center"/>
        <w:rPr>
          <w:b/>
          <w:sz w:val="23"/>
          <w:szCs w:val="23"/>
        </w:rPr>
      </w:pPr>
    </w:p>
    <w:p w:rsidR="009118CD" w:rsidRPr="00C47051" w:rsidRDefault="00EE6D03" w:rsidP="00180ECF">
      <w:pPr>
        <w:spacing w:line="480" w:lineRule="auto"/>
        <w:ind w:firstLine="720"/>
        <w:rPr>
          <w:sz w:val="23"/>
          <w:szCs w:val="23"/>
        </w:rPr>
      </w:pPr>
      <w:proofErr w:type="spellStart"/>
      <w:r>
        <w:rPr>
          <w:sz w:val="23"/>
          <w:szCs w:val="23"/>
        </w:rPr>
        <w:t>Xxxxx</w:t>
      </w:r>
      <w:proofErr w:type="spellEnd"/>
      <w:r w:rsidR="009118CD" w:rsidRPr="00C47051">
        <w:rPr>
          <w:sz w:val="23"/>
          <w:szCs w:val="23"/>
        </w:rPr>
        <w:t xml:space="preserve"> is a citizen of Egypt and a lawful permanent resident of the United States.  He is a successful business owner and currently lives in Florence, South Carolina, with his wife and child.   </w:t>
      </w:r>
      <w:proofErr w:type="spellStart"/>
      <w:r>
        <w:rPr>
          <w:sz w:val="23"/>
          <w:szCs w:val="23"/>
        </w:rPr>
        <w:t>Xxxxx</w:t>
      </w:r>
      <w:proofErr w:type="spellEnd"/>
      <w:r w:rsidR="009118CD" w:rsidRPr="00C47051">
        <w:rPr>
          <w:sz w:val="23"/>
          <w:szCs w:val="23"/>
        </w:rPr>
        <w:t xml:space="preserve"> has applied to United States Citizenship and Immigration Service</w:t>
      </w:r>
      <w:r w:rsidR="00180ECF" w:rsidRPr="00C47051">
        <w:rPr>
          <w:sz w:val="23"/>
          <w:szCs w:val="23"/>
        </w:rPr>
        <w:t xml:space="preserve">s for naturalization.  </w:t>
      </w:r>
    </w:p>
    <w:p w:rsidR="00180ECF" w:rsidRPr="00C47051" w:rsidRDefault="00D5606C" w:rsidP="00180ECF">
      <w:pPr>
        <w:spacing w:line="480" w:lineRule="auto"/>
        <w:ind w:firstLine="720"/>
        <w:rPr>
          <w:sz w:val="23"/>
          <w:szCs w:val="23"/>
        </w:rPr>
      </w:pPr>
      <w:r w:rsidRPr="00C47051">
        <w:rPr>
          <w:sz w:val="23"/>
          <w:szCs w:val="23"/>
        </w:rPr>
        <w:t xml:space="preserve">On February 2, 2008, </w:t>
      </w:r>
      <w:proofErr w:type="spellStart"/>
      <w:r w:rsidR="00EE6D03">
        <w:rPr>
          <w:sz w:val="23"/>
          <w:szCs w:val="23"/>
        </w:rPr>
        <w:t>Xxxxx</w:t>
      </w:r>
      <w:proofErr w:type="spellEnd"/>
      <w:r w:rsidRPr="00C47051">
        <w:rPr>
          <w:sz w:val="23"/>
          <w:szCs w:val="23"/>
        </w:rPr>
        <w:t xml:space="preserve"> was charged with criminal domestic violence, first offense, and o</w:t>
      </w:r>
      <w:r w:rsidR="00180ECF" w:rsidRPr="00C47051">
        <w:rPr>
          <w:sz w:val="23"/>
          <w:szCs w:val="23"/>
        </w:rPr>
        <w:t xml:space="preserve">n September 22, 2008, </w:t>
      </w:r>
      <w:r w:rsidRPr="00C47051">
        <w:rPr>
          <w:sz w:val="23"/>
          <w:szCs w:val="23"/>
        </w:rPr>
        <w:t xml:space="preserve">upon the advice of counsel, </w:t>
      </w:r>
      <w:r w:rsidR="00180ECF" w:rsidRPr="00C47051">
        <w:rPr>
          <w:sz w:val="23"/>
          <w:szCs w:val="23"/>
        </w:rPr>
        <w:t>entered a plea of guilty in the Florence Municipal Court to simple assault and battery, and was sentenced to a $1000.00 fine and counseling with the Alternatives to Violence program (see attached disposition sheet).</w:t>
      </w:r>
    </w:p>
    <w:p w:rsidR="008720B7" w:rsidRPr="00C47051" w:rsidRDefault="00180ECF" w:rsidP="00180ECF">
      <w:pPr>
        <w:spacing w:line="480" w:lineRule="auto"/>
        <w:ind w:firstLine="720"/>
        <w:rPr>
          <w:sz w:val="23"/>
          <w:szCs w:val="23"/>
        </w:rPr>
      </w:pPr>
      <w:r w:rsidRPr="00C47051">
        <w:rPr>
          <w:sz w:val="23"/>
          <w:szCs w:val="23"/>
        </w:rPr>
        <w:t xml:space="preserve">Although </w:t>
      </w:r>
      <w:proofErr w:type="spellStart"/>
      <w:r w:rsidR="00EE6D03">
        <w:rPr>
          <w:sz w:val="23"/>
          <w:szCs w:val="23"/>
        </w:rPr>
        <w:t>Xxxxx</w:t>
      </w:r>
      <w:proofErr w:type="spellEnd"/>
      <w:r w:rsidRPr="00C47051">
        <w:rPr>
          <w:sz w:val="23"/>
          <w:szCs w:val="23"/>
        </w:rPr>
        <w:t xml:space="preserve"> is not incarcerated and was not sentenced to incarceration, he is prejudiced and suffers from the continuing effects of this conviction, in that the conviction has placed his eligibility for United States citizenship in danger and has placed</w:t>
      </w:r>
      <w:r w:rsidR="008720B7" w:rsidRPr="00C47051">
        <w:rPr>
          <w:sz w:val="23"/>
          <w:szCs w:val="23"/>
        </w:rPr>
        <w:t xml:space="preserve"> him in danger of deportation.  </w:t>
      </w:r>
    </w:p>
    <w:p w:rsidR="00180ECF" w:rsidRPr="00C47051" w:rsidRDefault="008720B7" w:rsidP="00180ECF">
      <w:pPr>
        <w:spacing w:line="480" w:lineRule="auto"/>
        <w:ind w:firstLine="720"/>
        <w:rPr>
          <w:sz w:val="23"/>
          <w:szCs w:val="23"/>
        </w:rPr>
      </w:pPr>
      <w:r w:rsidRPr="00C47051">
        <w:rPr>
          <w:sz w:val="23"/>
          <w:szCs w:val="23"/>
        </w:rPr>
        <w:t xml:space="preserve">An individual has standing to petition for post-conviction relief even though his conviction did not result in incarceration, provided that the petitioner alleges that he is suffering continuing effects from the conviction.  </w:t>
      </w:r>
      <w:r w:rsidRPr="00C47051">
        <w:rPr>
          <w:sz w:val="23"/>
          <w:szCs w:val="23"/>
          <w:u w:val="single"/>
        </w:rPr>
        <w:t>Jackson v. State</w:t>
      </w:r>
      <w:r w:rsidRPr="00C47051">
        <w:rPr>
          <w:sz w:val="23"/>
          <w:szCs w:val="23"/>
        </w:rPr>
        <w:t xml:space="preserve">, 331 S.C. 486 (1997); </w:t>
      </w:r>
      <w:r w:rsidRPr="00C47051">
        <w:rPr>
          <w:i/>
          <w:sz w:val="23"/>
          <w:szCs w:val="23"/>
        </w:rPr>
        <w:t>see also</w:t>
      </w:r>
      <w:r w:rsidRPr="00C47051">
        <w:rPr>
          <w:sz w:val="23"/>
          <w:szCs w:val="23"/>
        </w:rPr>
        <w:t xml:space="preserve"> </w:t>
      </w:r>
      <w:r w:rsidRPr="00C47051">
        <w:rPr>
          <w:sz w:val="23"/>
          <w:szCs w:val="23"/>
          <w:u w:val="single"/>
        </w:rPr>
        <w:t>McDuffie v. State</w:t>
      </w:r>
      <w:r w:rsidRPr="00C47051">
        <w:rPr>
          <w:sz w:val="23"/>
          <w:szCs w:val="23"/>
        </w:rPr>
        <w:t xml:space="preserve">, 276 S.C. 229 (1981) (where applicant for PCR alleges in application that results of prior conviction still </w:t>
      </w:r>
      <w:r w:rsidRPr="00C47051">
        <w:rPr>
          <w:sz w:val="23"/>
          <w:szCs w:val="23"/>
        </w:rPr>
        <w:lastRenderedPageBreak/>
        <w:t xml:space="preserve">persist, he is entitled to an evidentiary hearing to determine whether he has been prejudiced); </w:t>
      </w:r>
      <w:proofErr w:type="spellStart"/>
      <w:r w:rsidRPr="00C47051">
        <w:rPr>
          <w:sz w:val="23"/>
          <w:szCs w:val="23"/>
          <w:u w:val="single"/>
        </w:rPr>
        <w:t>McElrath</w:t>
      </w:r>
      <w:proofErr w:type="spellEnd"/>
      <w:r w:rsidRPr="00C47051">
        <w:rPr>
          <w:sz w:val="23"/>
          <w:szCs w:val="23"/>
          <w:u w:val="single"/>
        </w:rPr>
        <w:t xml:space="preserve"> v. State</w:t>
      </w:r>
      <w:r w:rsidRPr="00C47051">
        <w:rPr>
          <w:sz w:val="23"/>
          <w:szCs w:val="23"/>
        </w:rPr>
        <w:t xml:space="preserve">, 276 S.C. 282 (1981) (petitioner not entitled to hearing where he does not allege prejudice or still suffers from results of the conviction); </w:t>
      </w:r>
      <w:r w:rsidRPr="00C47051">
        <w:rPr>
          <w:sz w:val="23"/>
          <w:szCs w:val="23"/>
          <w:u w:val="single"/>
        </w:rPr>
        <w:t>Jones v. State</w:t>
      </w:r>
      <w:proofErr w:type="gramStart"/>
      <w:r w:rsidRPr="00C47051">
        <w:rPr>
          <w:sz w:val="23"/>
          <w:szCs w:val="23"/>
        </w:rPr>
        <w:t xml:space="preserve">, </w:t>
      </w:r>
      <w:r w:rsidR="00180ECF" w:rsidRPr="00C47051">
        <w:rPr>
          <w:sz w:val="23"/>
          <w:szCs w:val="23"/>
        </w:rPr>
        <w:t xml:space="preserve"> </w:t>
      </w:r>
      <w:r w:rsidRPr="00C47051">
        <w:rPr>
          <w:sz w:val="23"/>
          <w:szCs w:val="23"/>
        </w:rPr>
        <w:t>322</w:t>
      </w:r>
      <w:proofErr w:type="gramEnd"/>
      <w:r w:rsidRPr="00C47051">
        <w:rPr>
          <w:sz w:val="23"/>
          <w:szCs w:val="23"/>
        </w:rPr>
        <w:t xml:space="preserve"> S.C. 101 (1996) (petitioner has standing to petition for PCR if he is in custody or the results of his conviction still persist).  </w:t>
      </w:r>
    </w:p>
    <w:p w:rsidR="008720B7" w:rsidRPr="00C47051" w:rsidRDefault="008720B7" w:rsidP="00180ECF">
      <w:pPr>
        <w:spacing w:line="480" w:lineRule="auto"/>
        <w:ind w:firstLine="720"/>
        <w:rPr>
          <w:sz w:val="23"/>
          <w:szCs w:val="23"/>
        </w:rPr>
      </w:pPr>
      <w:r w:rsidRPr="00C47051">
        <w:rPr>
          <w:sz w:val="23"/>
          <w:szCs w:val="23"/>
        </w:rPr>
        <w:t>In order for a person to be eligible for naturalization, they must be a person of good moral character for five years prior to filing and up to the time of admission as a Uni</w:t>
      </w:r>
      <w:r w:rsidR="00D5606C" w:rsidRPr="00C47051">
        <w:rPr>
          <w:sz w:val="23"/>
          <w:szCs w:val="23"/>
        </w:rPr>
        <w:t>ted States citizen.  8 C.F.R. § 316(a</w:t>
      </w:r>
      <w:proofErr w:type="gramStart"/>
      <w:r w:rsidR="00D5606C" w:rsidRPr="00C47051">
        <w:rPr>
          <w:sz w:val="23"/>
          <w:szCs w:val="23"/>
        </w:rPr>
        <w:t>)(</w:t>
      </w:r>
      <w:proofErr w:type="gramEnd"/>
      <w:r w:rsidR="00D5606C" w:rsidRPr="00C47051">
        <w:rPr>
          <w:sz w:val="23"/>
          <w:szCs w:val="23"/>
        </w:rPr>
        <w:t xml:space="preserve">1).  Individuals have had their naturalization reversed for a lack of good moral character where the individual failed to list an arrest.  </w:t>
      </w:r>
      <w:proofErr w:type="spellStart"/>
      <w:proofErr w:type="gramStart"/>
      <w:r w:rsidR="00D5606C" w:rsidRPr="00C47051">
        <w:rPr>
          <w:sz w:val="23"/>
          <w:szCs w:val="23"/>
          <w:u w:val="single"/>
        </w:rPr>
        <w:t>Plewa</w:t>
      </w:r>
      <w:proofErr w:type="spellEnd"/>
      <w:r w:rsidR="00D5606C" w:rsidRPr="00C47051">
        <w:rPr>
          <w:sz w:val="23"/>
          <w:szCs w:val="23"/>
          <w:u w:val="single"/>
        </w:rPr>
        <w:t xml:space="preserve"> v. INS</w:t>
      </w:r>
      <w:r w:rsidR="00D5606C" w:rsidRPr="00C47051">
        <w:rPr>
          <w:sz w:val="23"/>
          <w:szCs w:val="23"/>
        </w:rPr>
        <w:t>, 77 F.Supp.2d 905 (N.D. Ill. 1999).</w:t>
      </w:r>
      <w:proofErr w:type="gramEnd"/>
      <w:r w:rsidR="00D5606C" w:rsidRPr="00C47051">
        <w:rPr>
          <w:sz w:val="23"/>
          <w:szCs w:val="23"/>
        </w:rPr>
        <w:t xml:space="preserve">  The date the U</w:t>
      </w:r>
      <w:r w:rsidR="00633FE9" w:rsidRPr="00C47051">
        <w:rPr>
          <w:sz w:val="23"/>
          <w:szCs w:val="23"/>
        </w:rPr>
        <w:t>nited States</w:t>
      </w:r>
      <w:r w:rsidR="00D5606C" w:rsidRPr="00C47051">
        <w:rPr>
          <w:sz w:val="23"/>
          <w:szCs w:val="23"/>
        </w:rPr>
        <w:t xml:space="preserve"> Citizenship and Immigration Services uses to determine the passing of five years is the date of sentencing.  </w:t>
      </w:r>
      <w:proofErr w:type="gramStart"/>
      <w:r w:rsidR="00D5606C" w:rsidRPr="00C47051">
        <w:rPr>
          <w:sz w:val="23"/>
          <w:szCs w:val="23"/>
          <w:u w:val="single"/>
        </w:rPr>
        <w:t xml:space="preserve">Chan v. </w:t>
      </w:r>
      <w:proofErr w:type="spellStart"/>
      <w:r w:rsidR="00D5606C" w:rsidRPr="00C47051">
        <w:rPr>
          <w:sz w:val="23"/>
          <w:szCs w:val="23"/>
          <w:u w:val="single"/>
        </w:rPr>
        <w:t>Ganter</w:t>
      </w:r>
      <w:proofErr w:type="spellEnd"/>
      <w:r w:rsidR="00D5606C" w:rsidRPr="00C47051">
        <w:rPr>
          <w:sz w:val="23"/>
          <w:szCs w:val="23"/>
        </w:rPr>
        <w:t>, 374 F.Supp.2d 363 (S.D.N.Y. 2005).</w:t>
      </w:r>
      <w:proofErr w:type="gramEnd"/>
      <w:r w:rsidR="00D5606C" w:rsidRPr="00C47051">
        <w:rPr>
          <w:sz w:val="23"/>
          <w:szCs w:val="23"/>
        </w:rPr>
        <w:t xml:space="preserve">  Even if an individual is not convicted of a crime, they may be denied citizenship if they admit facts that constitute certain crimes.  8 C.F.R. § 316.10(b</w:t>
      </w:r>
      <w:proofErr w:type="gramStart"/>
      <w:r w:rsidR="00D5606C" w:rsidRPr="00C47051">
        <w:rPr>
          <w:sz w:val="23"/>
          <w:szCs w:val="23"/>
        </w:rPr>
        <w:t>)(</w:t>
      </w:r>
      <w:proofErr w:type="gramEnd"/>
      <w:r w:rsidR="00D5606C" w:rsidRPr="00C47051">
        <w:rPr>
          <w:sz w:val="23"/>
          <w:szCs w:val="23"/>
        </w:rPr>
        <w:t xml:space="preserve">iv).  </w:t>
      </w:r>
    </w:p>
    <w:p w:rsidR="00633FE9" w:rsidRPr="00C47051" w:rsidRDefault="00633FE9" w:rsidP="00180ECF">
      <w:pPr>
        <w:spacing w:line="480" w:lineRule="auto"/>
        <w:ind w:firstLine="720"/>
        <w:rPr>
          <w:sz w:val="23"/>
          <w:szCs w:val="23"/>
        </w:rPr>
      </w:pPr>
      <w:r w:rsidRPr="00C47051">
        <w:rPr>
          <w:sz w:val="23"/>
          <w:szCs w:val="23"/>
        </w:rPr>
        <w:t>The conviction for assault and battery, because it was the result of a criminal domestic violence charge, may be considered a crime of moral turpitude.  The United States Citizenship and</w:t>
      </w:r>
      <w:r w:rsidR="0064507E" w:rsidRPr="00C47051">
        <w:rPr>
          <w:sz w:val="23"/>
          <w:szCs w:val="23"/>
        </w:rPr>
        <w:t xml:space="preserve"> Immigration Services regularly </w:t>
      </w:r>
      <w:proofErr w:type="gramStart"/>
      <w:r w:rsidRPr="00C47051">
        <w:rPr>
          <w:sz w:val="23"/>
          <w:szCs w:val="23"/>
        </w:rPr>
        <w:t>finds</w:t>
      </w:r>
      <w:proofErr w:type="gramEnd"/>
      <w:r w:rsidRPr="00C47051">
        <w:rPr>
          <w:sz w:val="23"/>
          <w:szCs w:val="23"/>
        </w:rPr>
        <w:t xml:space="preserve"> that offenses involving bodily injury to a spouse involve moral turpitude.  </w:t>
      </w:r>
      <w:r w:rsidRPr="00C47051">
        <w:rPr>
          <w:i/>
          <w:sz w:val="23"/>
          <w:szCs w:val="23"/>
        </w:rPr>
        <w:t>See</w:t>
      </w:r>
      <w:r w:rsidRPr="00C47051">
        <w:rPr>
          <w:sz w:val="23"/>
          <w:szCs w:val="23"/>
        </w:rPr>
        <w:t xml:space="preserve"> </w:t>
      </w:r>
      <w:r w:rsidRPr="00C47051">
        <w:rPr>
          <w:sz w:val="23"/>
          <w:szCs w:val="23"/>
          <w:u w:val="single"/>
        </w:rPr>
        <w:t xml:space="preserve">Matter of </w:t>
      </w:r>
      <w:proofErr w:type="spellStart"/>
      <w:r w:rsidRPr="00C47051">
        <w:rPr>
          <w:sz w:val="23"/>
          <w:szCs w:val="23"/>
          <w:u w:val="single"/>
        </w:rPr>
        <w:t>Deanda-Romo</w:t>
      </w:r>
      <w:proofErr w:type="spellEnd"/>
      <w:r w:rsidRPr="00C47051">
        <w:rPr>
          <w:sz w:val="23"/>
          <w:szCs w:val="23"/>
        </w:rPr>
        <w:t xml:space="preserve">, </w:t>
      </w:r>
      <w:proofErr w:type="gramStart"/>
      <w:r w:rsidRPr="00C47051">
        <w:rPr>
          <w:sz w:val="23"/>
          <w:szCs w:val="23"/>
        </w:rPr>
        <w:t>23 I</w:t>
      </w:r>
      <w:proofErr w:type="gramEnd"/>
      <w:r w:rsidRPr="00C47051">
        <w:rPr>
          <w:sz w:val="23"/>
          <w:szCs w:val="23"/>
        </w:rPr>
        <w:t xml:space="preserve">&amp;N Dec. 597 (BIA 2003); </w:t>
      </w:r>
      <w:r w:rsidRPr="00C47051">
        <w:rPr>
          <w:sz w:val="23"/>
          <w:szCs w:val="23"/>
          <w:u w:val="single"/>
        </w:rPr>
        <w:t xml:space="preserve">In re </w:t>
      </w:r>
      <w:proofErr w:type="spellStart"/>
      <w:r w:rsidRPr="00C47051">
        <w:rPr>
          <w:sz w:val="23"/>
          <w:szCs w:val="23"/>
          <w:u w:val="single"/>
        </w:rPr>
        <w:t>Phong</w:t>
      </w:r>
      <w:proofErr w:type="spellEnd"/>
      <w:r w:rsidRPr="00C47051">
        <w:rPr>
          <w:sz w:val="23"/>
          <w:szCs w:val="23"/>
          <w:u w:val="single"/>
        </w:rPr>
        <w:t xml:space="preserve"> Nguyen Tran</w:t>
      </w:r>
      <w:r w:rsidRPr="00C47051">
        <w:rPr>
          <w:sz w:val="23"/>
          <w:szCs w:val="23"/>
        </w:rPr>
        <w:t xml:space="preserve">, 21 I&amp;N Dec. 291 (BIA 1996).  </w:t>
      </w:r>
    </w:p>
    <w:p w:rsidR="00A10754" w:rsidRPr="00C47051" w:rsidRDefault="00633FE9" w:rsidP="00A10754">
      <w:pPr>
        <w:spacing w:line="480" w:lineRule="auto"/>
        <w:ind w:firstLine="720"/>
        <w:rPr>
          <w:sz w:val="23"/>
          <w:szCs w:val="23"/>
        </w:rPr>
      </w:pPr>
      <w:r w:rsidRPr="00C47051">
        <w:rPr>
          <w:sz w:val="23"/>
          <w:szCs w:val="23"/>
        </w:rPr>
        <w:t>In addition to the potential denial of naturalization, a conviction for a domestic violence related offense makes individuals deportable.  Under Section 237 of the Immigration and Naturalization Act, the section which refers to the bases for deportation,</w:t>
      </w:r>
      <w:r w:rsidR="00A10754" w:rsidRPr="00C47051">
        <w:rPr>
          <w:sz w:val="23"/>
          <w:szCs w:val="23"/>
        </w:rPr>
        <w:t xml:space="preserve"> at (a</w:t>
      </w:r>
      <w:proofErr w:type="gramStart"/>
      <w:r w:rsidR="00A10754" w:rsidRPr="00C47051">
        <w:rPr>
          <w:sz w:val="23"/>
          <w:szCs w:val="23"/>
        </w:rPr>
        <w:t>)(</w:t>
      </w:r>
      <w:proofErr w:type="gramEnd"/>
      <w:r w:rsidR="00A10754" w:rsidRPr="00C47051">
        <w:rPr>
          <w:sz w:val="23"/>
          <w:szCs w:val="23"/>
        </w:rPr>
        <w:t>2)(E),</w:t>
      </w:r>
      <w:r w:rsidRPr="00C47051">
        <w:rPr>
          <w:sz w:val="23"/>
          <w:szCs w:val="23"/>
        </w:rPr>
        <w:t xml:space="preserve"> i</w:t>
      </w:r>
      <w:r w:rsidR="00A10754" w:rsidRPr="00C47051">
        <w:rPr>
          <w:sz w:val="23"/>
          <w:szCs w:val="23"/>
        </w:rPr>
        <w:t>t states:</w:t>
      </w:r>
    </w:p>
    <w:p w:rsidR="00633FE9" w:rsidRPr="00C47051" w:rsidRDefault="00633FE9" w:rsidP="00A10754">
      <w:pPr>
        <w:spacing w:line="480" w:lineRule="auto"/>
        <w:ind w:left="720" w:firstLine="720"/>
        <w:rPr>
          <w:sz w:val="23"/>
          <w:szCs w:val="23"/>
        </w:rPr>
      </w:pPr>
      <w:r w:rsidRPr="00C47051">
        <w:rPr>
          <w:sz w:val="23"/>
          <w:szCs w:val="23"/>
        </w:rPr>
        <w:t>“[a]</w:t>
      </w:r>
      <w:proofErr w:type="spellStart"/>
      <w:r w:rsidRPr="00C47051">
        <w:rPr>
          <w:sz w:val="23"/>
          <w:szCs w:val="23"/>
        </w:rPr>
        <w:t>ny</w:t>
      </w:r>
      <w:proofErr w:type="spellEnd"/>
      <w:r w:rsidRPr="00C47051">
        <w:rPr>
          <w:sz w:val="23"/>
          <w:szCs w:val="23"/>
        </w:rPr>
        <w:t xml:space="preserve"> alien who at any time after admission is convicted of a crime of domestic</w:t>
      </w:r>
      <w:r w:rsidR="00A10754" w:rsidRPr="00C47051">
        <w:rPr>
          <w:sz w:val="23"/>
          <w:szCs w:val="23"/>
        </w:rPr>
        <w:t xml:space="preserve"> violence, a crime of stalking, or a crime of child abuse, child neglect, or child abandonment is deportable.  For purposes of this clause, the term “crime of domestic violence” means any </w:t>
      </w:r>
      <w:r w:rsidR="00A10754" w:rsidRPr="00C47051">
        <w:rPr>
          <w:sz w:val="23"/>
          <w:szCs w:val="23"/>
        </w:rPr>
        <w:lastRenderedPageBreak/>
        <w:t xml:space="preserve">crime of violence as defined in section 16 of title 18, United States Code, against a person committed by a current or former spouse of the person . . . </w:t>
      </w:r>
    </w:p>
    <w:p w:rsidR="00A10754" w:rsidRPr="00C47051" w:rsidRDefault="00A10754" w:rsidP="00A10754">
      <w:pPr>
        <w:spacing w:line="480" w:lineRule="auto"/>
        <w:ind w:firstLine="720"/>
        <w:rPr>
          <w:sz w:val="23"/>
          <w:szCs w:val="23"/>
        </w:rPr>
      </w:pPr>
      <w:r w:rsidRPr="00C47051">
        <w:rPr>
          <w:sz w:val="23"/>
          <w:szCs w:val="23"/>
        </w:rPr>
        <w:t xml:space="preserve">18 U.S.C. §16(a) states that the term “crime of violence” means “an offense that has as an element the use, attempted use, or threatened use of physical force against the person or property of another.”   Therefore, under federal law, </w:t>
      </w:r>
      <w:proofErr w:type="spellStart"/>
      <w:r w:rsidR="00EE6D03">
        <w:rPr>
          <w:sz w:val="23"/>
          <w:szCs w:val="23"/>
        </w:rPr>
        <w:t>Xxxxx</w:t>
      </w:r>
      <w:proofErr w:type="spellEnd"/>
      <w:r w:rsidRPr="00C47051">
        <w:rPr>
          <w:sz w:val="23"/>
          <w:szCs w:val="23"/>
        </w:rPr>
        <w:t xml:space="preserve"> is deportable for domestic violence if he was convicted and/or admitted to a crime under state criminal law which also includes an element of use, attempted use, or threatened use of physical force against the property of another, and if the alleged victim of the offense was a spouse, as it was in </w:t>
      </w:r>
      <w:proofErr w:type="spellStart"/>
      <w:r w:rsidR="00EE6D03">
        <w:rPr>
          <w:sz w:val="23"/>
          <w:szCs w:val="23"/>
        </w:rPr>
        <w:t>Xxxxx</w:t>
      </w:r>
      <w:r w:rsidR="0064507E" w:rsidRPr="00C47051">
        <w:rPr>
          <w:sz w:val="23"/>
          <w:szCs w:val="23"/>
        </w:rPr>
        <w:t>’s</w:t>
      </w:r>
      <w:proofErr w:type="spellEnd"/>
      <w:r w:rsidRPr="00C47051">
        <w:rPr>
          <w:sz w:val="23"/>
          <w:szCs w:val="23"/>
        </w:rPr>
        <w:t xml:space="preserve"> case.  </w:t>
      </w:r>
    </w:p>
    <w:p w:rsidR="006C0647" w:rsidRPr="00C47051" w:rsidRDefault="006C0647" w:rsidP="006C0647">
      <w:pPr>
        <w:ind w:firstLine="720"/>
        <w:rPr>
          <w:sz w:val="23"/>
          <w:szCs w:val="23"/>
        </w:rPr>
      </w:pPr>
    </w:p>
    <w:p w:rsidR="00A95A37" w:rsidRPr="00C47051" w:rsidRDefault="00A95A37" w:rsidP="006C0647">
      <w:pPr>
        <w:ind w:firstLine="720"/>
        <w:jc w:val="center"/>
        <w:rPr>
          <w:b/>
          <w:sz w:val="23"/>
          <w:szCs w:val="23"/>
        </w:rPr>
      </w:pPr>
      <w:r w:rsidRPr="00C47051">
        <w:rPr>
          <w:b/>
          <w:sz w:val="23"/>
          <w:szCs w:val="23"/>
        </w:rPr>
        <w:t>FIRST GROUND FOR POST CONVICTION RELIEF:</w:t>
      </w:r>
    </w:p>
    <w:p w:rsidR="006C0647" w:rsidRPr="00C47051" w:rsidRDefault="006C0647" w:rsidP="006C0647">
      <w:pPr>
        <w:ind w:firstLine="720"/>
        <w:jc w:val="center"/>
        <w:rPr>
          <w:b/>
          <w:sz w:val="23"/>
          <w:szCs w:val="23"/>
        </w:rPr>
      </w:pPr>
    </w:p>
    <w:p w:rsidR="00A95A37" w:rsidRPr="00C47051" w:rsidRDefault="00A95A37" w:rsidP="00A95A37">
      <w:pPr>
        <w:pStyle w:val="NoSpacing"/>
        <w:jc w:val="center"/>
        <w:rPr>
          <w:b/>
          <w:sz w:val="23"/>
          <w:szCs w:val="23"/>
        </w:rPr>
      </w:pPr>
      <w:r w:rsidRPr="00C47051">
        <w:rPr>
          <w:b/>
          <w:sz w:val="23"/>
          <w:szCs w:val="23"/>
        </w:rPr>
        <w:t>TRIAL COUNSEL RENDERED INEFFECTIVE ASSISTANCE OF COUNSEL BY PROVIDING ERRONEOUS ADVICE REGARDING THE IMMIGRATION CONSEQUENCES OF THE GUILTY PLEA</w:t>
      </w:r>
    </w:p>
    <w:p w:rsidR="008720B7" w:rsidRPr="00C47051" w:rsidRDefault="008720B7" w:rsidP="00180ECF">
      <w:pPr>
        <w:spacing w:line="480" w:lineRule="auto"/>
        <w:ind w:firstLine="720"/>
        <w:rPr>
          <w:sz w:val="23"/>
          <w:szCs w:val="23"/>
        </w:rPr>
      </w:pPr>
    </w:p>
    <w:p w:rsidR="009031AE" w:rsidRPr="00C47051" w:rsidRDefault="0064507E" w:rsidP="00924CD0">
      <w:pPr>
        <w:spacing w:line="480" w:lineRule="auto"/>
        <w:rPr>
          <w:sz w:val="23"/>
          <w:szCs w:val="23"/>
        </w:rPr>
      </w:pPr>
      <w:r w:rsidRPr="00C47051">
        <w:rPr>
          <w:sz w:val="23"/>
          <w:szCs w:val="23"/>
        </w:rPr>
        <w:tab/>
      </w:r>
      <w:r w:rsidR="009031AE" w:rsidRPr="00C47051">
        <w:rPr>
          <w:sz w:val="23"/>
          <w:szCs w:val="23"/>
          <w:u w:val="single"/>
        </w:rPr>
        <w:t>Strickland v. Washington</w:t>
      </w:r>
      <w:r w:rsidR="009031AE" w:rsidRPr="00C47051">
        <w:rPr>
          <w:sz w:val="23"/>
          <w:szCs w:val="23"/>
        </w:rPr>
        <w:t xml:space="preserve">, 466 U.S. 668 (1984), set forth a two pronged test for claims of ineffective assistance of counsel: 1) that counsel’s advice was not within the range of competence demanded of attorneys in criminal cases; and 2) that there is a reasonable probability that, but for counsel’s errors, the defendant would not have pled guilty and would have insisted on a trial.  </w:t>
      </w:r>
      <w:r w:rsidR="009031AE" w:rsidRPr="00C47051">
        <w:rPr>
          <w:sz w:val="23"/>
          <w:szCs w:val="23"/>
          <w:u w:val="single"/>
        </w:rPr>
        <w:t>Id</w:t>
      </w:r>
      <w:r w:rsidR="009031AE" w:rsidRPr="00C47051">
        <w:rPr>
          <w:sz w:val="23"/>
          <w:szCs w:val="23"/>
        </w:rPr>
        <w:t xml:space="preserve">; </w:t>
      </w:r>
      <w:r w:rsidR="009031AE" w:rsidRPr="007A5EAA">
        <w:rPr>
          <w:i/>
          <w:sz w:val="23"/>
          <w:szCs w:val="23"/>
        </w:rPr>
        <w:t>see also</w:t>
      </w:r>
      <w:r w:rsidR="009031AE" w:rsidRPr="00C47051">
        <w:rPr>
          <w:sz w:val="23"/>
          <w:szCs w:val="23"/>
        </w:rPr>
        <w:t xml:space="preserve"> </w:t>
      </w:r>
      <w:r w:rsidR="009031AE" w:rsidRPr="00C47051">
        <w:rPr>
          <w:sz w:val="23"/>
          <w:szCs w:val="23"/>
          <w:u w:val="single"/>
        </w:rPr>
        <w:t>Hill v. Lockhart</w:t>
      </w:r>
      <w:r w:rsidR="009031AE" w:rsidRPr="00C47051">
        <w:rPr>
          <w:sz w:val="23"/>
          <w:szCs w:val="23"/>
        </w:rPr>
        <w:t xml:space="preserve">, 474 U.S. 52 (1985) (applying the </w:t>
      </w:r>
      <w:r w:rsidR="009031AE" w:rsidRPr="00C47051">
        <w:rPr>
          <w:sz w:val="23"/>
          <w:szCs w:val="23"/>
          <w:u w:val="single"/>
        </w:rPr>
        <w:t>Strickland</w:t>
      </w:r>
      <w:r w:rsidR="009031AE" w:rsidRPr="00C47051">
        <w:rPr>
          <w:sz w:val="23"/>
          <w:szCs w:val="23"/>
        </w:rPr>
        <w:t xml:space="preserve"> standard to guilty plea challenges based on ineffective assistance of counsel).  Petitioner’s statement is sufficient evidence to satisfy the prejudice prong.  </w:t>
      </w:r>
      <w:r w:rsidR="009031AE" w:rsidRPr="00C47051">
        <w:rPr>
          <w:sz w:val="23"/>
          <w:szCs w:val="23"/>
          <w:u w:val="single"/>
        </w:rPr>
        <w:t>Jackson v. State</w:t>
      </w:r>
      <w:r w:rsidR="009031AE" w:rsidRPr="00C47051">
        <w:rPr>
          <w:sz w:val="23"/>
          <w:szCs w:val="23"/>
        </w:rPr>
        <w:t>, 321 S.C. 554 (1996) (</w:t>
      </w:r>
      <w:r w:rsidR="009031AE" w:rsidRPr="007A5EAA">
        <w:rPr>
          <w:i/>
          <w:sz w:val="23"/>
          <w:szCs w:val="23"/>
        </w:rPr>
        <w:t>overruling</w:t>
      </w:r>
      <w:r w:rsidR="009031AE" w:rsidRPr="00C47051">
        <w:rPr>
          <w:sz w:val="23"/>
          <w:szCs w:val="23"/>
        </w:rPr>
        <w:t xml:space="preserve"> </w:t>
      </w:r>
      <w:r w:rsidR="009031AE" w:rsidRPr="00C47051">
        <w:rPr>
          <w:sz w:val="23"/>
          <w:szCs w:val="23"/>
          <w:u w:val="single"/>
        </w:rPr>
        <w:t>Judge v. State</w:t>
      </w:r>
      <w:r w:rsidR="009031AE" w:rsidRPr="00C47051">
        <w:rPr>
          <w:sz w:val="23"/>
          <w:szCs w:val="23"/>
        </w:rPr>
        <w:t xml:space="preserve">, 321 S.C. 554 (1996), which held that prejudice must be shown by objective evidence). </w:t>
      </w:r>
    </w:p>
    <w:p w:rsidR="0064507E" w:rsidRPr="00C47051" w:rsidRDefault="009031AE" w:rsidP="00924CD0">
      <w:pPr>
        <w:spacing w:line="480" w:lineRule="auto"/>
        <w:rPr>
          <w:sz w:val="23"/>
          <w:szCs w:val="23"/>
        </w:rPr>
      </w:pPr>
      <w:r w:rsidRPr="00C47051">
        <w:rPr>
          <w:sz w:val="23"/>
          <w:szCs w:val="23"/>
        </w:rPr>
        <w:tab/>
        <w:t xml:space="preserve">Counsel does not have any obligation, for purposes of ineffective assistance of counsel claims, to give any advice regarding collateral consequences.  </w:t>
      </w:r>
      <w:r w:rsidRPr="00C47051">
        <w:rPr>
          <w:sz w:val="23"/>
          <w:szCs w:val="23"/>
          <w:u w:val="single"/>
        </w:rPr>
        <w:t>Smith v. State</w:t>
      </w:r>
      <w:r w:rsidRPr="00C47051">
        <w:rPr>
          <w:sz w:val="23"/>
          <w:szCs w:val="23"/>
        </w:rPr>
        <w:t xml:space="preserve">, 329 S.C. 280 (1997) (where counsel gave no advice regarding the fact that plea was to a violent offense, there </w:t>
      </w:r>
      <w:r w:rsidR="007A5EAA">
        <w:rPr>
          <w:sz w:val="23"/>
          <w:szCs w:val="23"/>
        </w:rPr>
        <w:t xml:space="preserve">were </w:t>
      </w:r>
      <w:r w:rsidRPr="00C47051">
        <w:rPr>
          <w:sz w:val="23"/>
          <w:szCs w:val="23"/>
        </w:rPr>
        <w:t xml:space="preserve">no grounds for post-conviction relief because </w:t>
      </w:r>
      <w:r w:rsidR="00616B20" w:rsidRPr="00C47051">
        <w:rPr>
          <w:sz w:val="23"/>
          <w:szCs w:val="23"/>
        </w:rPr>
        <w:t xml:space="preserve">it was a collateral matter).  However, where counsel </w:t>
      </w:r>
      <w:r w:rsidR="00616B20" w:rsidRPr="00C47051">
        <w:rPr>
          <w:sz w:val="23"/>
          <w:szCs w:val="23"/>
        </w:rPr>
        <w:lastRenderedPageBreak/>
        <w:t xml:space="preserve">undertakes to give advice </w:t>
      </w:r>
      <w:r w:rsidR="007A5EAA">
        <w:rPr>
          <w:sz w:val="23"/>
          <w:szCs w:val="23"/>
        </w:rPr>
        <w:t xml:space="preserve">on a collateral consequence </w:t>
      </w:r>
      <w:r w:rsidR="00616B20" w:rsidRPr="00C47051">
        <w:rPr>
          <w:sz w:val="23"/>
          <w:szCs w:val="23"/>
        </w:rPr>
        <w:t xml:space="preserve">and that advice is erroneous, it is grounds for post-conviction relief.  </w:t>
      </w:r>
      <w:proofErr w:type="gramStart"/>
      <w:r w:rsidR="00616B20" w:rsidRPr="00C47051">
        <w:rPr>
          <w:sz w:val="23"/>
          <w:szCs w:val="23"/>
          <w:u w:val="single"/>
        </w:rPr>
        <w:t>Hinson v. State</w:t>
      </w:r>
      <w:r w:rsidR="00616B20" w:rsidRPr="00C47051">
        <w:rPr>
          <w:sz w:val="23"/>
          <w:szCs w:val="23"/>
        </w:rPr>
        <w:t>, 297 S.C. 456 (1989).</w:t>
      </w:r>
      <w:proofErr w:type="gramEnd"/>
      <w:r w:rsidR="00616B20" w:rsidRPr="00C47051">
        <w:rPr>
          <w:sz w:val="23"/>
          <w:szCs w:val="23"/>
        </w:rPr>
        <w:t xml:space="preserve">  </w:t>
      </w:r>
    </w:p>
    <w:p w:rsidR="00616B20" w:rsidRPr="00C47051" w:rsidRDefault="006C0647" w:rsidP="006C0647">
      <w:pPr>
        <w:spacing w:line="480" w:lineRule="auto"/>
        <w:ind w:firstLine="720"/>
        <w:rPr>
          <w:sz w:val="23"/>
          <w:szCs w:val="23"/>
        </w:rPr>
      </w:pPr>
      <w:r w:rsidRPr="00C47051">
        <w:rPr>
          <w:sz w:val="23"/>
          <w:szCs w:val="23"/>
        </w:rPr>
        <w:tab/>
      </w:r>
      <w:proofErr w:type="spellStart"/>
      <w:r w:rsidR="00EE6D03">
        <w:rPr>
          <w:sz w:val="23"/>
          <w:szCs w:val="23"/>
        </w:rPr>
        <w:t>Xxxxx</w:t>
      </w:r>
      <w:proofErr w:type="spellEnd"/>
      <w:r w:rsidRPr="00C47051">
        <w:rPr>
          <w:sz w:val="23"/>
          <w:szCs w:val="23"/>
        </w:rPr>
        <w:t xml:space="preserve"> was very concerned about the possibility of his criminal charge affecting his immigration status, and asked trial counsel on more than one occasion what the immigration consequences would be.  Trial counsel incorrectly advised </w:t>
      </w:r>
      <w:proofErr w:type="spellStart"/>
      <w:r w:rsidR="00EE6D03">
        <w:rPr>
          <w:sz w:val="23"/>
          <w:szCs w:val="23"/>
        </w:rPr>
        <w:t>Xxxxx</w:t>
      </w:r>
      <w:proofErr w:type="spellEnd"/>
      <w:r w:rsidRPr="00C47051">
        <w:rPr>
          <w:sz w:val="23"/>
          <w:szCs w:val="23"/>
        </w:rPr>
        <w:t xml:space="preserve"> that, although a plea to criminal domestic violence may affect his immigration status, a plea to assault and battery would not.  </w:t>
      </w:r>
      <w:proofErr w:type="spellStart"/>
      <w:r w:rsidR="00EE6D03">
        <w:rPr>
          <w:sz w:val="23"/>
          <w:szCs w:val="23"/>
        </w:rPr>
        <w:t>Xxxxx</w:t>
      </w:r>
      <w:proofErr w:type="spellEnd"/>
      <w:r w:rsidR="00616B20" w:rsidRPr="00C47051">
        <w:rPr>
          <w:sz w:val="23"/>
          <w:szCs w:val="23"/>
        </w:rPr>
        <w:t xml:space="preserve"> relied on this advice in deciding to enter a plea to simple assault and battery.  If </w:t>
      </w:r>
      <w:proofErr w:type="spellStart"/>
      <w:r w:rsidR="00EE6D03">
        <w:rPr>
          <w:sz w:val="23"/>
          <w:szCs w:val="23"/>
        </w:rPr>
        <w:t>Xxxxx</w:t>
      </w:r>
      <w:proofErr w:type="spellEnd"/>
      <w:r w:rsidR="00616B20" w:rsidRPr="00C47051">
        <w:rPr>
          <w:sz w:val="23"/>
          <w:szCs w:val="23"/>
        </w:rPr>
        <w:t xml:space="preserve"> had known that he would not only be barred from obtaining citizenship but could potentially be deported, he would not have entered a guilty plea, and he would have proceeded to trial in his case.  </w:t>
      </w:r>
    </w:p>
    <w:p w:rsidR="006C0647" w:rsidRPr="00C47051" w:rsidRDefault="006C0647" w:rsidP="006C0647">
      <w:pPr>
        <w:rPr>
          <w:sz w:val="23"/>
          <w:szCs w:val="23"/>
        </w:rPr>
      </w:pPr>
    </w:p>
    <w:p w:rsidR="00616B20" w:rsidRDefault="00616B20" w:rsidP="006C0647">
      <w:pPr>
        <w:jc w:val="center"/>
        <w:rPr>
          <w:b/>
          <w:sz w:val="23"/>
          <w:szCs w:val="23"/>
        </w:rPr>
      </w:pPr>
      <w:r w:rsidRPr="00C47051">
        <w:rPr>
          <w:b/>
          <w:sz w:val="23"/>
          <w:szCs w:val="23"/>
        </w:rPr>
        <w:t>SECOND GROUND FOR POST-CONVICTION RELIEF:</w:t>
      </w:r>
    </w:p>
    <w:p w:rsidR="007A5EAA" w:rsidRPr="00C47051" w:rsidRDefault="007A5EAA" w:rsidP="006C0647">
      <w:pPr>
        <w:jc w:val="center"/>
        <w:rPr>
          <w:b/>
          <w:sz w:val="23"/>
          <w:szCs w:val="23"/>
        </w:rPr>
      </w:pPr>
    </w:p>
    <w:p w:rsidR="006C0647" w:rsidRPr="00C47051" w:rsidRDefault="00616B20" w:rsidP="006C0647">
      <w:pPr>
        <w:jc w:val="center"/>
        <w:rPr>
          <w:rFonts w:ascii="Calibri" w:hAnsi="Calibri"/>
          <w:b/>
          <w:sz w:val="23"/>
          <w:szCs w:val="23"/>
        </w:rPr>
      </w:pPr>
      <w:r w:rsidRPr="00C47051">
        <w:rPr>
          <w:rFonts w:ascii="Calibri" w:hAnsi="Calibri"/>
          <w:b/>
          <w:sz w:val="23"/>
          <w:szCs w:val="23"/>
        </w:rPr>
        <w:t xml:space="preserve">TRIAL COUNSEL RENDERED INEFFECTIVE ASSISTANCE OF COUNSEL BY FAILING TO FULLY INVESTIGATE AND INTERVIEW POTENTIAL WITNESSES </w:t>
      </w:r>
    </w:p>
    <w:p w:rsidR="00DB09B3" w:rsidRPr="00C47051" w:rsidRDefault="00DB09B3" w:rsidP="006C0647">
      <w:pPr>
        <w:jc w:val="center"/>
        <w:rPr>
          <w:sz w:val="23"/>
          <w:szCs w:val="23"/>
        </w:rPr>
      </w:pPr>
      <w:r w:rsidRPr="00C47051">
        <w:rPr>
          <w:sz w:val="23"/>
          <w:szCs w:val="23"/>
        </w:rPr>
        <w:t xml:space="preserve"> </w:t>
      </w:r>
    </w:p>
    <w:p w:rsidR="006C0647" w:rsidRPr="00C47051" w:rsidRDefault="006C0647" w:rsidP="006C0647">
      <w:pPr>
        <w:jc w:val="center"/>
        <w:rPr>
          <w:rFonts w:ascii="Calibri" w:hAnsi="Calibri"/>
          <w:b/>
          <w:sz w:val="23"/>
          <w:szCs w:val="23"/>
        </w:rPr>
      </w:pPr>
    </w:p>
    <w:p w:rsidR="00DB09B3" w:rsidRPr="00C47051" w:rsidRDefault="00DB09B3" w:rsidP="00DB09B3">
      <w:pPr>
        <w:spacing w:line="480" w:lineRule="auto"/>
        <w:ind w:firstLine="720"/>
        <w:rPr>
          <w:sz w:val="23"/>
          <w:szCs w:val="23"/>
        </w:rPr>
      </w:pPr>
      <w:r w:rsidRPr="00C47051">
        <w:rPr>
          <w:sz w:val="23"/>
          <w:szCs w:val="23"/>
        </w:rPr>
        <w:t xml:space="preserve">“While the scope of a reasonable investigation depends upon a number of issues, at a minimum, counsel has the duty to interview potential witnesses and to make an independent investigation of the facts and circumstances of the case.” </w:t>
      </w:r>
      <w:proofErr w:type="spellStart"/>
      <w:r w:rsidRPr="00C47051">
        <w:rPr>
          <w:sz w:val="23"/>
          <w:szCs w:val="23"/>
          <w:u w:val="single"/>
        </w:rPr>
        <w:t>Ard</w:t>
      </w:r>
      <w:proofErr w:type="spellEnd"/>
      <w:r w:rsidRPr="00C47051">
        <w:rPr>
          <w:sz w:val="23"/>
          <w:szCs w:val="23"/>
          <w:u w:val="single"/>
        </w:rPr>
        <w:t xml:space="preserve"> v. </w:t>
      </w:r>
      <w:proofErr w:type="spellStart"/>
      <w:r w:rsidRPr="00C47051">
        <w:rPr>
          <w:sz w:val="23"/>
          <w:szCs w:val="23"/>
          <w:u w:val="single"/>
        </w:rPr>
        <w:t>Catoe</w:t>
      </w:r>
      <w:proofErr w:type="spellEnd"/>
      <w:r w:rsidRPr="00C47051">
        <w:rPr>
          <w:sz w:val="23"/>
          <w:szCs w:val="23"/>
        </w:rPr>
        <w:t xml:space="preserve">, 372 S.C. 318, 331 (2007); </w:t>
      </w:r>
      <w:r w:rsidRPr="007A5EAA">
        <w:rPr>
          <w:i/>
          <w:sz w:val="23"/>
          <w:szCs w:val="23"/>
        </w:rPr>
        <w:t>see also</w:t>
      </w:r>
      <w:r w:rsidRPr="00C47051">
        <w:rPr>
          <w:sz w:val="23"/>
          <w:szCs w:val="23"/>
        </w:rPr>
        <w:t xml:space="preserve"> </w:t>
      </w:r>
      <w:proofErr w:type="spellStart"/>
      <w:r w:rsidRPr="00C47051">
        <w:rPr>
          <w:sz w:val="23"/>
          <w:szCs w:val="23"/>
          <w:u w:val="single"/>
        </w:rPr>
        <w:t>Lounds</w:t>
      </w:r>
      <w:proofErr w:type="spellEnd"/>
      <w:r w:rsidRPr="00C47051">
        <w:rPr>
          <w:sz w:val="23"/>
          <w:szCs w:val="23"/>
          <w:u w:val="single"/>
        </w:rPr>
        <w:t xml:space="preserve"> v. State</w:t>
      </w:r>
      <w:r w:rsidRPr="00C47051">
        <w:rPr>
          <w:sz w:val="23"/>
          <w:szCs w:val="23"/>
        </w:rPr>
        <w:t xml:space="preserve">, 2008 WL 5204924 (S.C.). </w:t>
      </w:r>
    </w:p>
    <w:p w:rsidR="006C0647" w:rsidRPr="00C47051" w:rsidRDefault="006C0647" w:rsidP="006C0647">
      <w:pPr>
        <w:spacing w:line="480" w:lineRule="auto"/>
        <w:ind w:firstLine="720"/>
        <w:rPr>
          <w:sz w:val="23"/>
          <w:szCs w:val="23"/>
        </w:rPr>
      </w:pPr>
      <w:r w:rsidRPr="00C47051">
        <w:rPr>
          <w:sz w:val="23"/>
          <w:szCs w:val="23"/>
        </w:rPr>
        <w:t xml:space="preserve">The state’s case against </w:t>
      </w:r>
      <w:proofErr w:type="spellStart"/>
      <w:r w:rsidR="00EE6D03">
        <w:rPr>
          <w:sz w:val="23"/>
          <w:szCs w:val="23"/>
        </w:rPr>
        <w:t>Xxxxx</w:t>
      </w:r>
      <w:proofErr w:type="spellEnd"/>
      <w:r w:rsidRPr="00C47051">
        <w:rPr>
          <w:sz w:val="23"/>
          <w:szCs w:val="23"/>
        </w:rPr>
        <w:t xml:space="preserve"> rested almost entirely on alleged statements made by </w:t>
      </w:r>
      <w:proofErr w:type="spellStart"/>
      <w:r w:rsidR="00EE6D03">
        <w:rPr>
          <w:sz w:val="23"/>
          <w:szCs w:val="23"/>
        </w:rPr>
        <w:t>Xxxxx</w:t>
      </w:r>
      <w:r w:rsidRPr="00C47051">
        <w:rPr>
          <w:sz w:val="23"/>
          <w:szCs w:val="23"/>
        </w:rPr>
        <w:t>’s</w:t>
      </w:r>
      <w:proofErr w:type="spellEnd"/>
      <w:r w:rsidRPr="00C47051">
        <w:rPr>
          <w:sz w:val="23"/>
          <w:szCs w:val="23"/>
        </w:rPr>
        <w:t xml:space="preserve"> wife to the police.  The only persons who were present at the time and place of the incident were </w:t>
      </w:r>
      <w:proofErr w:type="spellStart"/>
      <w:r w:rsidR="00EE6D03">
        <w:rPr>
          <w:sz w:val="23"/>
          <w:szCs w:val="23"/>
        </w:rPr>
        <w:t>Xxxxx</w:t>
      </w:r>
      <w:proofErr w:type="spellEnd"/>
      <w:r w:rsidRPr="00C47051">
        <w:rPr>
          <w:sz w:val="23"/>
          <w:szCs w:val="23"/>
        </w:rPr>
        <w:t xml:space="preserve">, his wife </w:t>
      </w:r>
      <w:proofErr w:type="spellStart"/>
      <w:r w:rsidRPr="00C47051">
        <w:rPr>
          <w:sz w:val="23"/>
          <w:szCs w:val="23"/>
        </w:rPr>
        <w:t>Abeer</w:t>
      </w:r>
      <w:proofErr w:type="spellEnd"/>
      <w:r w:rsidRPr="00C47051">
        <w:rPr>
          <w:sz w:val="23"/>
          <w:szCs w:val="23"/>
        </w:rPr>
        <w:t xml:space="preserve"> </w:t>
      </w:r>
      <w:proofErr w:type="spellStart"/>
      <w:r w:rsidR="00EE6D03">
        <w:rPr>
          <w:sz w:val="23"/>
          <w:szCs w:val="23"/>
        </w:rPr>
        <w:t>Xxxxx</w:t>
      </w:r>
      <w:proofErr w:type="spellEnd"/>
      <w:r w:rsidRPr="00C47051">
        <w:rPr>
          <w:sz w:val="23"/>
          <w:szCs w:val="23"/>
        </w:rPr>
        <w:t xml:space="preserve">, and her brother.  Trial counsel did not independently interview </w:t>
      </w:r>
      <w:proofErr w:type="spellStart"/>
      <w:r w:rsidRPr="00C47051">
        <w:rPr>
          <w:sz w:val="23"/>
          <w:szCs w:val="23"/>
        </w:rPr>
        <w:t>Abeer</w:t>
      </w:r>
      <w:proofErr w:type="spellEnd"/>
      <w:r w:rsidRPr="00C47051">
        <w:rPr>
          <w:sz w:val="23"/>
          <w:szCs w:val="23"/>
        </w:rPr>
        <w:t xml:space="preserve"> </w:t>
      </w:r>
      <w:proofErr w:type="spellStart"/>
      <w:r w:rsidR="00EE6D03">
        <w:rPr>
          <w:sz w:val="23"/>
          <w:szCs w:val="23"/>
        </w:rPr>
        <w:t>Xxxxx</w:t>
      </w:r>
      <w:proofErr w:type="spellEnd"/>
      <w:r w:rsidRPr="00C47051">
        <w:rPr>
          <w:sz w:val="23"/>
          <w:szCs w:val="23"/>
        </w:rPr>
        <w:t xml:space="preserve"> or her brother regarding the facts of the case and potential defenses that </w:t>
      </w:r>
      <w:proofErr w:type="spellStart"/>
      <w:r w:rsidR="00EE6D03">
        <w:rPr>
          <w:sz w:val="23"/>
          <w:szCs w:val="23"/>
        </w:rPr>
        <w:t>Xxxxx</w:t>
      </w:r>
      <w:proofErr w:type="spellEnd"/>
      <w:r w:rsidRPr="00C47051">
        <w:rPr>
          <w:sz w:val="23"/>
          <w:szCs w:val="23"/>
        </w:rPr>
        <w:t xml:space="preserve"> would have had at trial, and instead relied upon the incident reports and statements of the officers involved.  </w:t>
      </w:r>
    </w:p>
    <w:p w:rsidR="00616B20" w:rsidRPr="00C47051" w:rsidRDefault="004267B7" w:rsidP="007A5EAA">
      <w:pPr>
        <w:spacing w:line="480" w:lineRule="auto"/>
        <w:ind w:firstLine="720"/>
        <w:rPr>
          <w:sz w:val="23"/>
          <w:szCs w:val="23"/>
        </w:rPr>
      </w:pPr>
      <w:r w:rsidRPr="00C47051">
        <w:rPr>
          <w:sz w:val="23"/>
          <w:szCs w:val="23"/>
        </w:rPr>
        <w:t xml:space="preserve">In summary, </w:t>
      </w:r>
      <w:proofErr w:type="spellStart"/>
      <w:r w:rsidRPr="00C47051">
        <w:rPr>
          <w:sz w:val="23"/>
          <w:szCs w:val="23"/>
        </w:rPr>
        <w:t>Abeer</w:t>
      </w:r>
      <w:proofErr w:type="spellEnd"/>
      <w:r w:rsidRPr="00C47051">
        <w:rPr>
          <w:sz w:val="23"/>
          <w:szCs w:val="23"/>
        </w:rPr>
        <w:t xml:space="preserve"> </w:t>
      </w:r>
      <w:proofErr w:type="spellStart"/>
      <w:r w:rsidR="00EE6D03">
        <w:rPr>
          <w:sz w:val="23"/>
          <w:szCs w:val="23"/>
        </w:rPr>
        <w:t>Xxxxx</w:t>
      </w:r>
      <w:proofErr w:type="spellEnd"/>
      <w:r w:rsidRPr="00C47051">
        <w:rPr>
          <w:sz w:val="23"/>
          <w:szCs w:val="23"/>
        </w:rPr>
        <w:t xml:space="preserve"> would have testified that</w:t>
      </w:r>
      <w:r w:rsidR="007A5EAA">
        <w:rPr>
          <w:sz w:val="23"/>
          <w:szCs w:val="23"/>
        </w:rPr>
        <w:t xml:space="preserve"> </w:t>
      </w:r>
      <w:proofErr w:type="spellStart"/>
      <w:r w:rsidR="00EE6D03">
        <w:rPr>
          <w:sz w:val="23"/>
          <w:szCs w:val="23"/>
        </w:rPr>
        <w:t>Xxxxx</w:t>
      </w:r>
      <w:proofErr w:type="spellEnd"/>
      <w:r w:rsidR="007A5EAA">
        <w:rPr>
          <w:sz w:val="23"/>
          <w:szCs w:val="23"/>
        </w:rPr>
        <w:t xml:space="preserve"> sought to evict </w:t>
      </w:r>
      <w:proofErr w:type="spellStart"/>
      <w:r w:rsidR="007A5EAA">
        <w:rPr>
          <w:sz w:val="23"/>
          <w:szCs w:val="23"/>
        </w:rPr>
        <w:t>Abeer’s</w:t>
      </w:r>
      <w:proofErr w:type="spellEnd"/>
      <w:r w:rsidR="007A5EAA">
        <w:rPr>
          <w:sz w:val="23"/>
          <w:szCs w:val="23"/>
        </w:rPr>
        <w:t xml:space="preserve"> brother from their house on the date of the incident,</w:t>
      </w:r>
      <w:r w:rsidRPr="00C47051">
        <w:rPr>
          <w:sz w:val="23"/>
          <w:szCs w:val="23"/>
        </w:rPr>
        <w:t xml:space="preserve"> that during the course of that dispute </w:t>
      </w:r>
      <w:proofErr w:type="spellStart"/>
      <w:r w:rsidRPr="00C47051">
        <w:rPr>
          <w:sz w:val="23"/>
          <w:szCs w:val="23"/>
        </w:rPr>
        <w:t>Abeer</w:t>
      </w:r>
      <w:proofErr w:type="spellEnd"/>
      <w:r w:rsidRPr="00C47051">
        <w:rPr>
          <w:sz w:val="23"/>
          <w:szCs w:val="23"/>
        </w:rPr>
        <w:t xml:space="preserve"> </w:t>
      </w:r>
      <w:r w:rsidR="006C0647" w:rsidRPr="00C47051">
        <w:rPr>
          <w:sz w:val="23"/>
          <w:szCs w:val="23"/>
        </w:rPr>
        <w:t>received a scratch</w:t>
      </w:r>
      <w:r w:rsidRPr="00C47051">
        <w:rPr>
          <w:sz w:val="23"/>
          <w:szCs w:val="23"/>
        </w:rPr>
        <w:t xml:space="preserve"> on her </w:t>
      </w:r>
      <w:r w:rsidR="006C0647" w:rsidRPr="00C47051">
        <w:rPr>
          <w:sz w:val="23"/>
          <w:szCs w:val="23"/>
        </w:rPr>
        <w:t>fore</w:t>
      </w:r>
      <w:r w:rsidRPr="00C47051">
        <w:rPr>
          <w:sz w:val="23"/>
          <w:szCs w:val="23"/>
        </w:rPr>
        <w:t xml:space="preserve">head, that the scratch was not caused intentionally by </w:t>
      </w:r>
      <w:proofErr w:type="spellStart"/>
      <w:r w:rsidR="00EE6D03">
        <w:rPr>
          <w:sz w:val="23"/>
          <w:szCs w:val="23"/>
        </w:rPr>
        <w:t>Xxxxx</w:t>
      </w:r>
      <w:proofErr w:type="spellEnd"/>
      <w:r w:rsidRPr="00C47051">
        <w:rPr>
          <w:sz w:val="23"/>
          <w:szCs w:val="23"/>
        </w:rPr>
        <w:t>,</w:t>
      </w:r>
      <w:r w:rsidR="006C0647" w:rsidRPr="00C47051">
        <w:rPr>
          <w:sz w:val="23"/>
          <w:szCs w:val="23"/>
        </w:rPr>
        <w:t xml:space="preserve"> and that he did not </w:t>
      </w:r>
      <w:r w:rsidR="006C0647" w:rsidRPr="00C47051">
        <w:rPr>
          <w:sz w:val="23"/>
          <w:szCs w:val="23"/>
        </w:rPr>
        <w:lastRenderedPageBreak/>
        <w:t xml:space="preserve">attack her, </w:t>
      </w:r>
      <w:r w:rsidRPr="00C47051">
        <w:rPr>
          <w:sz w:val="23"/>
          <w:szCs w:val="23"/>
        </w:rPr>
        <w:t>hurt her</w:t>
      </w:r>
      <w:r w:rsidR="006C0647" w:rsidRPr="00C47051">
        <w:rPr>
          <w:sz w:val="23"/>
          <w:szCs w:val="23"/>
        </w:rPr>
        <w:t>, or place her in fear for her safety</w:t>
      </w:r>
      <w:r w:rsidR="007A5EAA">
        <w:rPr>
          <w:sz w:val="23"/>
          <w:szCs w:val="23"/>
        </w:rPr>
        <w:t xml:space="preserve">.  It was </w:t>
      </w:r>
      <w:proofErr w:type="spellStart"/>
      <w:r w:rsidR="00EE6D03">
        <w:rPr>
          <w:sz w:val="23"/>
          <w:szCs w:val="23"/>
        </w:rPr>
        <w:t>Xxxxx</w:t>
      </w:r>
      <w:proofErr w:type="spellEnd"/>
      <w:r w:rsidR="007A5EAA">
        <w:rPr>
          <w:sz w:val="23"/>
          <w:szCs w:val="23"/>
        </w:rPr>
        <w:t xml:space="preserve"> who called the police, to assist in removing </w:t>
      </w:r>
      <w:proofErr w:type="spellStart"/>
      <w:r w:rsidR="007A5EAA">
        <w:rPr>
          <w:sz w:val="23"/>
          <w:szCs w:val="23"/>
        </w:rPr>
        <w:t>Abeer’s</w:t>
      </w:r>
      <w:proofErr w:type="spellEnd"/>
      <w:r w:rsidR="007A5EAA">
        <w:rPr>
          <w:sz w:val="23"/>
          <w:szCs w:val="23"/>
        </w:rPr>
        <w:t xml:space="preserve"> brother from the house.  </w:t>
      </w:r>
      <w:proofErr w:type="spellStart"/>
      <w:r w:rsidRPr="00C47051">
        <w:rPr>
          <w:sz w:val="23"/>
          <w:szCs w:val="23"/>
        </w:rPr>
        <w:t>Abeer</w:t>
      </w:r>
      <w:proofErr w:type="spellEnd"/>
      <w:r w:rsidRPr="00C47051">
        <w:rPr>
          <w:sz w:val="23"/>
          <w:szCs w:val="23"/>
        </w:rPr>
        <w:t xml:space="preserve"> </w:t>
      </w:r>
      <w:proofErr w:type="spellStart"/>
      <w:r w:rsidR="00EE6D03">
        <w:rPr>
          <w:sz w:val="23"/>
          <w:szCs w:val="23"/>
        </w:rPr>
        <w:t>Xxxxx</w:t>
      </w:r>
      <w:r w:rsidRPr="00C47051">
        <w:rPr>
          <w:sz w:val="23"/>
          <w:szCs w:val="23"/>
        </w:rPr>
        <w:t>’s</w:t>
      </w:r>
      <w:proofErr w:type="spellEnd"/>
      <w:r w:rsidRPr="00C47051">
        <w:rPr>
          <w:sz w:val="23"/>
          <w:szCs w:val="23"/>
        </w:rPr>
        <w:t xml:space="preserve"> testimony may have resulted in a substantial likelihood of a not guilty verdict at trial, and if </w:t>
      </w:r>
      <w:proofErr w:type="spellStart"/>
      <w:r w:rsidR="00EE6D03">
        <w:rPr>
          <w:sz w:val="23"/>
          <w:szCs w:val="23"/>
        </w:rPr>
        <w:t>Xxxxx</w:t>
      </w:r>
      <w:proofErr w:type="spellEnd"/>
      <w:r w:rsidRPr="00C47051">
        <w:rPr>
          <w:sz w:val="23"/>
          <w:szCs w:val="23"/>
        </w:rPr>
        <w:t xml:space="preserve"> had been advised of this he would not have pled guilty and would have instead insisted on a trial.  </w:t>
      </w:r>
      <w:proofErr w:type="gramStart"/>
      <w:r w:rsidRPr="007A5EAA">
        <w:rPr>
          <w:i/>
          <w:sz w:val="23"/>
          <w:szCs w:val="23"/>
        </w:rPr>
        <w:t>See</w:t>
      </w:r>
      <w:r w:rsidRPr="00C47051">
        <w:rPr>
          <w:sz w:val="23"/>
          <w:szCs w:val="23"/>
        </w:rPr>
        <w:t xml:space="preserve">  </w:t>
      </w:r>
      <w:r w:rsidRPr="00C47051">
        <w:rPr>
          <w:sz w:val="23"/>
          <w:szCs w:val="23"/>
          <w:u w:val="single"/>
        </w:rPr>
        <w:t>Hill</w:t>
      </w:r>
      <w:proofErr w:type="gramEnd"/>
      <w:r w:rsidRPr="00C47051">
        <w:rPr>
          <w:sz w:val="23"/>
          <w:szCs w:val="23"/>
          <w:u w:val="single"/>
        </w:rPr>
        <w:t xml:space="preserve"> v. Lockhart</w:t>
      </w:r>
      <w:r w:rsidRPr="00C47051">
        <w:rPr>
          <w:sz w:val="23"/>
          <w:szCs w:val="23"/>
        </w:rPr>
        <w:t>, 474 U.S. 52 (1985).</w:t>
      </w:r>
    </w:p>
    <w:p w:rsidR="006C0647" w:rsidRPr="00C47051" w:rsidRDefault="006C0647" w:rsidP="006C0647">
      <w:pPr>
        <w:ind w:firstLine="720"/>
        <w:rPr>
          <w:sz w:val="23"/>
          <w:szCs w:val="23"/>
        </w:rPr>
      </w:pPr>
    </w:p>
    <w:p w:rsidR="004267B7" w:rsidRPr="00C47051" w:rsidRDefault="00626612" w:rsidP="006C0647">
      <w:pPr>
        <w:jc w:val="center"/>
        <w:rPr>
          <w:b/>
          <w:sz w:val="23"/>
          <w:szCs w:val="23"/>
        </w:rPr>
      </w:pPr>
      <w:r w:rsidRPr="00C47051">
        <w:rPr>
          <w:b/>
          <w:sz w:val="23"/>
          <w:szCs w:val="23"/>
        </w:rPr>
        <w:t>THIRD</w:t>
      </w:r>
      <w:r w:rsidRPr="00C47051">
        <w:rPr>
          <w:sz w:val="23"/>
          <w:szCs w:val="23"/>
        </w:rPr>
        <w:t xml:space="preserve"> </w:t>
      </w:r>
      <w:r w:rsidRPr="00C47051">
        <w:rPr>
          <w:b/>
          <w:sz w:val="23"/>
          <w:szCs w:val="23"/>
        </w:rPr>
        <w:t>GROUND FOR POST-CONVICTION RELIEF:</w:t>
      </w:r>
    </w:p>
    <w:p w:rsidR="006C0647" w:rsidRPr="00C47051" w:rsidRDefault="006C0647" w:rsidP="006C0647">
      <w:pPr>
        <w:jc w:val="center"/>
        <w:rPr>
          <w:b/>
          <w:sz w:val="23"/>
          <w:szCs w:val="23"/>
        </w:rPr>
      </w:pPr>
    </w:p>
    <w:p w:rsidR="00626612" w:rsidRPr="00C47051" w:rsidRDefault="00EE6D03" w:rsidP="00626612">
      <w:pPr>
        <w:jc w:val="center"/>
        <w:rPr>
          <w:rFonts w:ascii="Calibri" w:hAnsi="Calibri"/>
          <w:b/>
          <w:sz w:val="23"/>
          <w:szCs w:val="23"/>
        </w:rPr>
      </w:pPr>
      <w:r>
        <w:rPr>
          <w:rFonts w:ascii="Calibri" w:hAnsi="Calibri"/>
          <w:b/>
          <w:sz w:val="23"/>
          <w:szCs w:val="23"/>
        </w:rPr>
        <w:t>XXXXX</w:t>
      </w:r>
      <w:r w:rsidR="00626612" w:rsidRPr="00C47051">
        <w:rPr>
          <w:rFonts w:ascii="Calibri" w:hAnsi="Calibri"/>
          <w:b/>
          <w:sz w:val="23"/>
          <w:szCs w:val="23"/>
        </w:rPr>
        <w:t>’S GUILTY PLEA WAS NOT VOLUNTARILY AND UNDERSTANDINGLY MADE</w:t>
      </w:r>
    </w:p>
    <w:p w:rsidR="00626612" w:rsidRPr="00C47051" w:rsidRDefault="00626612" w:rsidP="00626612">
      <w:pPr>
        <w:jc w:val="center"/>
        <w:rPr>
          <w:sz w:val="23"/>
          <w:szCs w:val="23"/>
        </w:rPr>
      </w:pPr>
    </w:p>
    <w:p w:rsidR="006C0647" w:rsidRPr="00C47051" w:rsidRDefault="006C0647" w:rsidP="00626612">
      <w:pPr>
        <w:jc w:val="center"/>
        <w:rPr>
          <w:sz w:val="23"/>
          <w:szCs w:val="23"/>
        </w:rPr>
      </w:pPr>
    </w:p>
    <w:p w:rsidR="006C0647" w:rsidRPr="00C47051" w:rsidRDefault="006C0647" w:rsidP="006C0647">
      <w:pPr>
        <w:spacing w:line="480" w:lineRule="auto"/>
        <w:rPr>
          <w:sz w:val="23"/>
          <w:szCs w:val="23"/>
        </w:rPr>
      </w:pPr>
      <w:r w:rsidRPr="00C47051">
        <w:rPr>
          <w:sz w:val="23"/>
          <w:szCs w:val="23"/>
        </w:rPr>
        <w:tab/>
      </w:r>
      <w:r w:rsidR="004C371E" w:rsidRPr="00C47051">
        <w:rPr>
          <w:sz w:val="23"/>
          <w:szCs w:val="23"/>
        </w:rPr>
        <w:t xml:space="preserve">A guilty plea necessarily involves a waiver of several federal and state constitutional rights.  “First, is the privilege against compulsory self-incrimination guaranteed by the Fifth Amendment and applicable to the States by reason of the </w:t>
      </w:r>
      <w:proofErr w:type="gramStart"/>
      <w:r w:rsidR="004C371E" w:rsidRPr="00C47051">
        <w:rPr>
          <w:sz w:val="23"/>
          <w:szCs w:val="23"/>
        </w:rPr>
        <w:t>Fourteenth.</w:t>
      </w:r>
      <w:proofErr w:type="gramEnd"/>
      <w:r w:rsidR="004C371E" w:rsidRPr="00C47051">
        <w:rPr>
          <w:sz w:val="23"/>
          <w:szCs w:val="23"/>
        </w:rPr>
        <w:t xml:space="preserve">  </w:t>
      </w:r>
      <w:proofErr w:type="gramStart"/>
      <w:r w:rsidR="004C371E" w:rsidRPr="00C47051">
        <w:rPr>
          <w:sz w:val="23"/>
          <w:szCs w:val="23"/>
          <w:u w:val="single"/>
        </w:rPr>
        <w:t>Malloy v. Hogan</w:t>
      </w:r>
      <w:r w:rsidR="004C371E" w:rsidRPr="00C47051">
        <w:rPr>
          <w:sz w:val="23"/>
          <w:szCs w:val="23"/>
        </w:rPr>
        <w:t>, 378 U.S. 1 (1964).</w:t>
      </w:r>
      <w:proofErr w:type="gramEnd"/>
      <w:r w:rsidR="004C371E" w:rsidRPr="00C47051">
        <w:rPr>
          <w:sz w:val="23"/>
          <w:szCs w:val="23"/>
        </w:rPr>
        <w:t xml:space="preserve">  Second, is the right to trial by </w:t>
      </w:r>
      <w:proofErr w:type="gramStart"/>
      <w:r w:rsidR="004C371E" w:rsidRPr="00C47051">
        <w:rPr>
          <w:sz w:val="23"/>
          <w:szCs w:val="23"/>
        </w:rPr>
        <w:t>jury.</w:t>
      </w:r>
      <w:proofErr w:type="gramEnd"/>
      <w:r w:rsidR="004C371E" w:rsidRPr="00C47051">
        <w:rPr>
          <w:sz w:val="23"/>
          <w:szCs w:val="23"/>
        </w:rPr>
        <w:t xml:space="preserve">  </w:t>
      </w:r>
      <w:proofErr w:type="gramStart"/>
      <w:r w:rsidR="004C371E" w:rsidRPr="00C47051">
        <w:rPr>
          <w:sz w:val="23"/>
          <w:szCs w:val="23"/>
          <w:u w:val="single"/>
        </w:rPr>
        <w:t>Duncan v. Louisiana</w:t>
      </w:r>
      <w:r w:rsidR="004C371E" w:rsidRPr="00C47051">
        <w:rPr>
          <w:sz w:val="23"/>
          <w:szCs w:val="23"/>
        </w:rPr>
        <w:t>, 391 U.S. 145 (1968).</w:t>
      </w:r>
      <w:proofErr w:type="gramEnd"/>
      <w:r w:rsidR="004C371E" w:rsidRPr="00C47051">
        <w:rPr>
          <w:sz w:val="23"/>
          <w:szCs w:val="23"/>
        </w:rPr>
        <w:t xml:space="preserve">  Third, is the right to confront one’s </w:t>
      </w:r>
      <w:proofErr w:type="gramStart"/>
      <w:r w:rsidR="004C371E" w:rsidRPr="00C47051">
        <w:rPr>
          <w:sz w:val="23"/>
          <w:szCs w:val="23"/>
        </w:rPr>
        <w:t>accusers.</w:t>
      </w:r>
      <w:proofErr w:type="gramEnd"/>
      <w:r w:rsidR="004C371E" w:rsidRPr="00C47051">
        <w:rPr>
          <w:sz w:val="23"/>
          <w:szCs w:val="23"/>
        </w:rPr>
        <w:t xml:space="preserve">  </w:t>
      </w:r>
      <w:proofErr w:type="gramStart"/>
      <w:r w:rsidR="004C371E" w:rsidRPr="00C47051">
        <w:rPr>
          <w:sz w:val="23"/>
          <w:szCs w:val="23"/>
          <w:u w:val="single"/>
        </w:rPr>
        <w:t>Pointer v. Texas</w:t>
      </w:r>
      <w:r w:rsidR="004C371E" w:rsidRPr="00C47051">
        <w:rPr>
          <w:sz w:val="23"/>
          <w:szCs w:val="23"/>
        </w:rPr>
        <w:t>, 380 U.S. 400 (1965).”</w:t>
      </w:r>
      <w:proofErr w:type="gramEnd"/>
      <w:r w:rsidR="004C371E" w:rsidRPr="00C47051">
        <w:rPr>
          <w:sz w:val="23"/>
          <w:szCs w:val="23"/>
        </w:rPr>
        <w:t xml:space="preserve">  </w:t>
      </w:r>
      <w:proofErr w:type="gramStart"/>
      <w:r w:rsidR="004C371E" w:rsidRPr="00C47051">
        <w:rPr>
          <w:sz w:val="23"/>
          <w:szCs w:val="23"/>
          <w:u w:val="single"/>
        </w:rPr>
        <w:t>Boykin v. Alabama</w:t>
      </w:r>
      <w:r w:rsidR="004C371E" w:rsidRPr="00C47051">
        <w:rPr>
          <w:sz w:val="23"/>
          <w:szCs w:val="23"/>
        </w:rPr>
        <w:t>, 395 U.S. 238, 243 (1969).</w:t>
      </w:r>
      <w:proofErr w:type="gramEnd"/>
      <w:r w:rsidR="004C371E" w:rsidRPr="00C47051">
        <w:rPr>
          <w:sz w:val="23"/>
          <w:szCs w:val="23"/>
        </w:rPr>
        <w:t xml:space="preserve">  A waiver of these rights cannot be presumed from a silent record.  </w:t>
      </w:r>
      <w:r w:rsidR="004C371E" w:rsidRPr="00C47051">
        <w:rPr>
          <w:sz w:val="23"/>
          <w:szCs w:val="23"/>
          <w:u w:val="single"/>
        </w:rPr>
        <w:t>Id</w:t>
      </w:r>
      <w:r w:rsidR="004C371E" w:rsidRPr="00C47051">
        <w:rPr>
          <w:sz w:val="23"/>
          <w:szCs w:val="23"/>
        </w:rPr>
        <w:t>.</w:t>
      </w:r>
    </w:p>
    <w:p w:rsidR="00300584" w:rsidRPr="00C47051" w:rsidRDefault="004C371E" w:rsidP="006C0647">
      <w:pPr>
        <w:spacing w:line="480" w:lineRule="auto"/>
        <w:rPr>
          <w:sz w:val="23"/>
          <w:szCs w:val="23"/>
        </w:rPr>
      </w:pPr>
      <w:r w:rsidRPr="00C47051">
        <w:rPr>
          <w:sz w:val="23"/>
          <w:szCs w:val="23"/>
        </w:rPr>
        <w:tab/>
        <w:t xml:space="preserve">“To ensure that the defendant understands [the charges against him], the trial judge usually questions the defendant about the facts surrounding the crime and the punishment which could be imposed.”  </w:t>
      </w:r>
      <w:r w:rsidRPr="00C47051">
        <w:rPr>
          <w:sz w:val="23"/>
          <w:szCs w:val="23"/>
          <w:u w:val="single"/>
        </w:rPr>
        <w:t>Dover v. State</w:t>
      </w:r>
      <w:r w:rsidRPr="00C47051">
        <w:rPr>
          <w:sz w:val="23"/>
          <w:szCs w:val="23"/>
        </w:rPr>
        <w:t xml:space="preserve">, 304 S.C. 433, 434-5 (1991) (granting post-conviction relief where the trial judge did not ask defendant any factual questions nor question him about the possibility of a severe sentence). </w:t>
      </w:r>
    </w:p>
    <w:p w:rsidR="00300584" w:rsidRPr="00C47051" w:rsidRDefault="00300584" w:rsidP="006C0647">
      <w:pPr>
        <w:spacing w:line="480" w:lineRule="auto"/>
        <w:rPr>
          <w:sz w:val="23"/>
          <w:szCs w:val="23"/>
        </w:rPr>
      </w:pPr>
      <w:r w:rsidRPr="00C47051">
        <w:rPr>
          <w:sz w:val="23"/>
          <w:szCs w:val="23"/>
        </w:rPr>
        <w:tab/>
        <w:t xml:space="preserve">No waiver of constitutional rights was made during the course of </w:t>
      </w:r>
      <w:proofErr w:type="spellStart"/>
      <w:r w:rsidR="00EE6D03">
        <w:rPr>
          <w:sz w:val="23"/>
          <w:szCs w:val="23"/>
        </w:rPr>
        <w:t>Xxxxx</w:t>
      </w:r>
      <w:proofErr w:type="spellEnd"/>
      <w:r w:rsidRPr="00C47051">
        <w:rPr>
          <w:sz w:val="23"/>
          <w:szCs w:val="23"/>
        </w:rPr>
        <w:t xml:space="preserve"> </w:t>
      </w:r>
      <w:proofErr w:type="spellStart"/>
      <w:r w:rsidR="00EE6D03">
        <w:rPr>
          <w:sz w:val="23"/>
          <w:szCs w:val="23"/>
        </w:rPr>
        <w:t>Xxxxx</w:t>
      </w:r>
      <w:r w:rsidRPr="00C47051">
        <w:rPr>
          <w:sz w:val="23"/>
          <w:szCs w:val="23"/>
        </w:rPr>
        <w:t>’s</w:t>
      </w:r>
      <w:proofErr w:type="spellEnd"/>
      <w:r w:rsidRPr="00C47051">
        <w:rPr>
          <w:sz w:val="23"/>
          <w:szCs w:val="23"/>
        </w:rPr>
        <w:t xml:space="preserve"> gui</w:t>
      </w:r>
      <w:r w:rsidR="007A5EAA">
        <w:rPr>
          <w:sz w:val="23"/>
          <w:szCs w:val="23"/>
        </w:rPr>
        <w:t xml:space="preserve">lty plea in the municipal court, and </w:t>
      </w:r>
      <w:proofErr w:type="spellStart"/>
      <w:r w:rsidR="00EE6D03">
        <w:rPr>
          <w:sz w:val="23"/>
          <w:szCs w:val="23"/>
        </w:rPr>
        <w:t>Xxxxx</w:t>
      </w:r>
      <w:proofErr w:type="spellEnd"/>
      <w:r w:rsidR="007A5EAA">
        <w:rPr>
          <w:sz w:val="23"/>
          <w:szCs w:val="23"/>
        </w:rPr>
        <w:t xml:space="preserve"> was not questioned about the facts surrounding the incident.</w:t>
      </w:r>
      <w:r w:rsidRPr="00C47051">
        <w:rPr>
          <w:sz w:val="23"/>
          <w:szCs w:val="23"/>
        </w:rPr>
        <w:t xml:space="preserve">  The plea took place in the judge’s office rather than in the courtroom, and no record was made of the proceedings.  There was no plea colloquy to include an express waiver of </w:t>
      </w:r>
      <w:proofErr w:type="spellStart"/>
      <w:r w:rsidR="00EE6D03">
        <w:rPr>
          <w:sz w:val="23"/>
          <w:szCs w:val="23"/>
        </w:rPr>
        <w:t>Xxxxx</w:t>
      </w:r>
      <w:r w:rsidRPr="00C47051">
        <w:rPr>
          <w:sz w:val="23"/>
          <w:szCs w:val="23"/>
        </w:rPr>
        <w:t>’s</w:t>
      </w:r>
      <w:proofErr w:type="spellEnd"/>
      <w:r w:rsidRPr="00C47051">
        <w:rPr>
          <w:sz w:val="23"/>
          <w:szCs w:val="23"/>
        </w:rPr>
        <w:t xml:space="preserve"> right against self-incrimination, right to confrontation, right to a jury trial, and all other constitutional rights that would </w:t>
      </w:r>
      <w:r w:rsidRPr="00C47051">
        <w:rPr>
          <w:sz w:val="23"/>
          <w:szCs w:val="23"/>
        </w:rPr>
        <w:lastRenderedPageBreak/>
        <w:t xml:space="preserve">flow </w:t>
      </w:r>
      <w:proofErr w:type="spellStart"/>
      <w:r w:rsidRPr="00C47051">
        <w:rPr>
          <w:sz w:val="23"/>
          <w:szCs w:val="23"/>
        </w:rPr>
        <w:t>therefrom</w:t>
      </w:r>
      <w:proofErr w:type="spellEnd"/>
      <w:r w:rsidRPr="00C47051">
        <w:rPr>
          <w:sz w:val="23"/>
          <w:szCs w:val="23"/>
        </w:rPr>
        <w:t xml:space="preserve">.  </w:t>
      </w:r>
      <w:proofErr w:type="spellStart"/>
      <w:r w:rsidR="00EE6D03">
        <w:rPr>
          <w:sz w:val="23"/>
          <w:szCs w:val="23"/>
        </w:rPr>
        <w:t>Xxxxx</w:t>
      </w:r>
      <w:r w:rsidRPr="00C47051">
        <w:rPr>
          <w:sz w:val="23"/>
          <w:szCs w:val="23"/>
        </w:rPr>
        <w:t>’s</w:t>
      </w:r>
      <w:proofErr w:type="spellEnd"/>
      <w:r w:rsidRPr="00C47051">
        <w:rPr>
          <w:sz w:val="23"/>
          <w:szCs w:val="23"/>
        </w:rPr>
        <w:t xml:space="preserve"> plea was not voluntary and knowing, it was “obtained in violation of due process, and is therefore void.”  </w:t>
      </w:r>
      <w:proofErr w:type="gramStart"/>
      <w:r w:rsidRPr="00C47051">
        <w:rPr>
          <w:sz w:val="23"/>
          <w:szCs w:val="23"/>
          <w:u w:val="single"/>
        </w:rPr>
        <w:t>Boykin</w:t>
      </w:r>
      <w:r w:rsidRPr="00C47051">
        <w:rPr>
          <w:sz w:val="23"/>
          <w:szCs w:val="23"/>
        </w:rPr>
        <w:t>, 395 at 243 FN 5.</w:t>
      </w:r>
      <w:proofErr w:type="gramEnd"/>
      <w:r w:rsidRPr="00C47051">
        <w:rPr>
          <w:sz w:val="23"/>
          <w:szCs w:val="23"/>
        </w:rPr>
        <w:t xml:space="preserve">  </w:t>
      </w:r>
    </w:p>
    <w:p w:rsidR="004C371E" w:rsidRPr="00C47051" w:rsidRDefault="00300584" w:rsidP="00300584">
      <w:pPr>
        <w:rPr>
          <w:sz w:val="23"/>
          <w:szCs w:val="23"/>
        </w:rPr>
      </w:pPr>
      <w:r w:rsidRPr="00C47051">
        <w:rPr>
          <w:sz w:val="23"/>
          <w:szCs w:val="23"/>
        </w:rPr>
        <w:t xml:space="preserve"> </w:t>
      </w:r>
      <w:r w:rsidR="004C371E" w:rsidRPr="00C47051">
        <w:rPr>
          <w:sz w:val="23"/>
          <w:szCs w:val="23"/>
        </w:rPr>
        <w:t xml:space="preserve"> </w:t>
      </w:r>
    </w:p>
    <w:p w:rsidR="00626612" w:rsidRPr="00C47051" w:rsidRDefault="00300584" w:rsidP="00300584">
      <w:pPr>
        <w:jc w:val="center"/>
        <w:rPr>
          <w:b/>
          <w:sz w:val="23"/>
          <w:szCs w:val="23"/>
        </w:rPr>
      </w:pPr>
      <w:r w:rsidRPr="00C47051">
        <w:rPr>
          <w:b/>
          <w:sz w:val="23"/>
          <w:szCs w:val="23"/>
        </w:rPr>
        <w:t>CONCLUSION</w:t>
      </w:r>
    </w:p>
    <w:p w:rsidR="00300584" w:rsidRDefault="00300584" w:rsidP="00300584">
      <w:pPr>
        <w:rPr>
          <w:b/>
          <w:sz w:val="23"/>
          <w:szCs w:val="23"/>
        </w:rPr>
      </w:pPr>
    </w:p>
    <w:p w:rsidR="00C47051" w:rsidRPr="00C47051" w:rsidRDefault="00C47051" w:rsidP="00300584">
      <w:pPr>
        <w:rPr>
          <w:b/>
          <w:sz w:val="23"/>
          <w:szCs w:val="23"/>
        </w:rPr>
      </w:pPr>
    </w:p>
    <w:p w:rsidR="00300584" w:rsidRPr="00C47051" w:rsidRDefault="00300584" w:rsidP="00300584">
      <w:pPr>
        <w:spacing w:line="480" w:lineRule="auto"/>
        <w:rPr>
          <w:sz w:val="23"/>
          <w:szCs w:val="23"/>
        </w:rPr>
      </w:pPr>
      <w:r w:rsidRPr="00C47051">
        <w:rPr>
          <w:b/>
          <w:sz w:val="23"/>
          <w:szCs w:val="23"/>
        </w:rPr>
        <w:tab/>
      </w:r>
      <w:proofErr w:type="spellStart"/>
      <w:r w:rsidR="00EE6D03">
        <w:rPr>
          <w:sz w:val="23"/>
          <w:szCs w:val="23"/>
        </w:rPr>
        <w:t>Xxxxx</w:t>
      </w:r>
      <w:proofErr w:type="spellEnd"/>
      <w:r w:rsidRPr="00C47051">
        <w:rPr>
          <w:sz w:val="23"/>
          <w:szCs w:val="23"/>
        </w:rPr>
        <w:t xml:space="preserve"> </w:t>
      </w:r>
      <w:proofErr w:type="spellStart"/>
      <w:r w:rsidR="00EE6D03">
        <w:rPr>
          <w:sz w:val="23"/>
          <w:szCs w:val="23"/>
        </w:rPr>
        <w:t>Xxxxx</w:t>
      </w:r>
      <w:r w:rsidRPr="00C47051">
        <w:rPr>
          <w:sz w:val="23"/>
          <w:szCs w:val="23"/>
        </w:rPr>
        <w:t>’s</w:t>
      </w:r>
      <w:proofErr w:type="spellEnd"/>
      <w:r w:rsidRPr="00C47051">
        <w:rPr>
          <w:sz w:val="23"/>
          <w:szCs w:val="23"/>
        </w:rPr>
        <w:t xml:space="preserve"> trial counsel rendered ineffective assistance of counsel by 1) providing erroneous advice as to the </w:t>
      </w:r>
      <w:r w:rsidR="00C47051" w:rsidRPr="00C47051">
        <w:rPr>
          <w:sz w:val="23"/>
          <w:szCs w:val="23"/>
        </w:rPr>
        <w:t xml:space="preserve">potential immigration consequences of a guilty plea to simple assault and battery; and 2) by failing to investigate and interview the potential witnesses in his case before advising him to plead guilty.  </w:t>
      </w:r>
      <w:proofErr w:type="spellStart"/>
      <w:r w:rsidR="00EE6D03">
        <w:rPr>
          <w:sz w:val="23"/>
          <w:szCs w:val="23"/>
        </w:rPr>
        <w:t>Xxxxx</w:t>
      </w:r>
      <w:proofErr w:type="spellEnd"/>
      <w:r w:rsidR="00C47051" w:rsidRPr="00C47051">
        <w:rPr>
          <w:sz w:val="23"/>
          <w:szCs w:val="23"/>
        </w:rPr>
        <w:t xml:space="preserve"> would have elected to not plead guilty and proceed to trial but for counsel’s advice.  Furthermore, </w:t>
      </w:r>
      <w:proofErr w:type="spellStart"/>
      <w:r w:rsidR="00EE6D03">
        <w:rPr>
          <w:sz w:val="23"/>
          <w:szCs w:val="23"/>
        </w:rPr>
        <w:t>Xxxxx</w:t>
      </w:r>
      <w:r w:rsidR="00C47051" w:rsidRPr="00C47051">
        <w:rPr>
          <w:sz w:val="23"/>
          <w:szCs w:val="23"/>
        </w:rPr>
        <w:t>’s</w:t>
      </w:r>
      <w:proofErr w:type="spellEnd"/>
      <w:r w:rsidR="00C47051" w:rsidRPr="00C47051">
        <w:rPr>
          <w:sz w:val="23"/>
          <w:szCs w:val="23"/>
        </w:rPr>
        <w:t xml:space="preserve"> </w:t>
      </w:r>
      <w:r w:rsidRPr="00C47051">
        <w:rPr>
          <w:sz w:val="23"/>
          <w:szCs w:val="23"/>
        </w:rPr>
        <w:t xml:space="preserve">guilty plea to the charge of simple assault and battery </w:t>
      </w:r>
      <w:r w:rsidR="00C47051" w:rsidRPr="00C47051">
        <w:rPr>
          <w:sz w:val="23"/>
          <w:szCs w:val="23"/>
        </w:rPr>
        <w:t xml:space="preserve">was not voluntarily and knowing, was obtained without a waiver of his constitutional rights in violation of due process, and is therefore void.  </w:t>
      </w:r>
    </w:p>
    <w:p w:rsidR="00C47051" w:rsidRPr="00C47051" w:rsidRDefault="00C47051" w:rsidP="00300584">
      <w:pPr>
        <w:spacing w:line="480" w:lineRule="auto"/>
        <w:rPr>
          <w:sz w:val="23"/>
          <w:szCs w:val="23"/>
        </w:rPr>
      </w:pPr>
    </w:p>
    <w:p w:rsidR="00C47051" w:rsidRPr="00C47051" w:rsidRDefault="00C47051" w:rsidP="00C47051">
      <w:pPr>
        <w:widowControl w:val="0"/>
        <w:autoSpaceDE w:val="0"/>
        <w:autoSpaceDN w:val="0"/>
        <w:adjustRightInd w:val="0"/>
        <w:ind w:left="4320" w:firstLine="720"/>
        <w:rPr>
          <w:sz w:val="23"/>
          <w:szCs w:val="23"/>
        </w:rPr>
      </w:pPr>
      <w:r w:rsidRPr="00C47051">
        <w:rPr>
          <w:sz w:val="23"/>
          <w:szCs w:val="23"/>
        </w:rPr>
        <w:t>Respectfully submitted,</w:t>
      </w:r>
    </w:p>
    <w:p w:rsidR="00C47051" w:rsidRPr="00C47051" w:rsidRDefault="00C47051" w:rsidP="00C47051">
      <w:pPr>
        <w:widowControl w:val="0"/>
        <w:autoSpaceDE w:val="0"/>
        <w:autoSpaceDN w:val="0"/>
        <w:adjustRightInd w:val="0"/>
        <w:rPr>
          <w:sz w:val="23"/>
          <w:szCs w:val="23"/>
        </w:rPr>
      </w:pP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p>
    <w:p w:rsidR="00C47051" w:rsidRPr="00C47051" w:rsidRDefault="00C47051" w:rsidP="00C47051">
      <w:pPr>
        <w:widowControl w:val="0"/>
        <w:autoSpaceDE w:val="0"/>
        <w:autoSpaceDN w:val="0"/>
        <w:adjustRightInd w:val="0"/>
        <w:rPr>
          <w:sz w:val="23"/>
          <w:szCs w:val="23"/>
        </w:rPr>
      </w:pPr>
    </w:p>
    <w:p w:rsidR="00C47051" w:rsidRPr="00C47051" w:rsidRDefault="00C47051" w:rsidP="00C4705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firstLine="2880"/>
        <w:rPr>
          <w:sz w:val="23"/>
          <w:szCs w:val="23"/>
        </w:rPr>
      </w:pPr>
      <w:r w:rsidRPr="00C47051">
        <w:rPr>
          <w:sz w:val="23"/>
          <w:szCs w:val="23"/>
        </w:rPr>
        <w:tab/>
        <w:t>________________________</w:t>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Pr>
          <w:sz w:val="23"/>
          <w:szCs w:val="23"/>
        </w:rPr>
        <w:tab/>
      </w:r>
      <w:r w:rsidRPr="00C47051">
        <w:rPr>
          <w:sz w:val="23"/>
          <w:szCs w:val="23"/>
        </w:rPr>
        <w:t>Bobby G. Frederick</w:t>
      </w:r>
    </w:p>
    <w:p w:rsidR="00C47051" w:rsidRPr="00C47051" w:rsidRDefault="00C47051" w:rsidP="00C4705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firstLine="2880"/>
        <w:rPr>
          <w:sz w:val="23"/>
          <w:szCs w:val="23"/>
        </w:rPr>
      </w:pPr>
      <w:r w:rsidRPr="00C47051">
        <w:rPr>
          <w:sz w:val="23"/>
          <w:szCs w:val="23"/>
        </w:rPr>
        <w:tab/>
        <w:t>Frederick Defense Firm</w:t>
      </w:r>
    </w:p>
    <w:p w:rsidR="00C47051" w:rsidRPr="00C47051" w:rsidRDefault="00C47051" w:rsidP="00C470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3"/>
          <w:szCs w:val="23"/>
        </w:rPr>
      </w:pP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t>Attorney for the Petitioner</w:t>
      </w:r>
    </w:p>
    <w:p w:rsidR="00C47051" w:rsidRPr="00C47051" w:rsidRDefault="00C47051" w:rsidP="00C470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3"/>
          <w:szCs w:val="23"/>
        </w:rPr>
      </w:pP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t>P.O. Box 8219</w:t>
      </w:r>
    </w:p>
    <w:p w:rsidR="00C47051" w:rsidRPr="00C47051" w:rsidRDefault="00C47051" w:rsidP="00C470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3"/>
          <w:szCs w:val="23"/>
        </w:rPr>
      </w:pP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t>Myrtle Beach, S.C. 29578</w:t>
      </w:r>
    </w:p>
    <w:p w:rsidR="00C47051" w:rsidRPr="00C47051" w:rsidRDefault="00C47051" w:rsidP="00C470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3"/>
          <w:szCs w:val="23"/>
        </w:rPr>
      </w:pP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t>843-444-6122</w:t>
      </w:r>
    </w:p>
    <w:p w:rsidR="00C47051" w:rsidRPr="00C47051" w:rsidRDefault="00C47051" w:rsidP="00C470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3"/>
          <w:szCs w:val="23"/>
        </w:rPr>
      </w:pP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r w:rsidRPr="00C47051">
        <w:rPr>
          <w:sz w:val="23"/>
          <w:szCs w:val="23"/>
        </w:rPr>
        <w:tab/>
      </w:r>
    </w:p>
    <w:p w:rsidR="00C47051" w:rsidRPr="00C47051" w:rsidRDefault="00C47051" w:rsidP="00C47051">
      <w:pPr>
        <w:widowControl w:val="0"/>
        <w:tabs>
          <w:tab w:val="left" w:pos="0"/>
          <w:tab w:val="left" w:pos="6480"/>
        </w:tabs>
        <w:autoSpaceDE w:val="0"/>
        <w:autoSpaceDN w:val="0"/>
        <w:adjustRightInd w:val="0"/>
        <w:rPr>
          <w:sz w:val="23"/>
          <w:szCs w:val="23"/>
        </w:rPr>
      </w:pPr>
      <w:r w:rsidRPr="00C47051">
        <w:rPr>
          <w:sz w:val="23"/>
          <w:szCs w:val="23"/>
        </w:rPr>
        <w:tab/>
      </w:r>
    </w:p>
    <w:p w:rsidR="00C47051" w:rsidRPr="00C47051" w:rsidRDefault="00C47051" w:rsidP="00C47051">
      <w:pPr>
        <w:widowControl w:val="0"/>
        <w:autoSpaceDE w:val="0"/>
        <w:autoSpaceDN w:val="0"/>
        <w:adjustRightInd w:val="0"/>
        <w:rPr>
          <w:sz w:val="23"/>
          <w:szCs w:val="23"/>
        </w:rPr>
      </w:pPr>
      <w:r w:rsidRPr="00C47051">
        <w:rPr>
          <w:sz w:val="23"/>
          <w:szCs w:val="23"/>
        </w:rPr>
        <w:t>January _____, 2009</w:t>
      </w:r>
    </w:p>
    <w:p w:rsidR="00C47051" w:rsidRPr="00300584" w:rsidRDefault="00C47051" w:rsidP="00300584">
      <w:pPr>
        <w:spacing w:line="480" w:lineRule="auto"/>
      </w:pPr>
    </w:p>
    <w:p w:rsidR="00300584" w:rsidRPr="00300584" w:rsidRDefault="00300584" w:rsidP="00300584">
      <w:pPr>
        <w:spacing w:line="480" w:lineRule="auto"/>
      </w:pPr>
    </w:p>
    <w:sectPr w:rsidR="00300584" w:rsidRPr="00300584" w:rsidSect="00C4705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4F0" w:rsidRDefault="00F034F0" w:rsidP="00C47051">
      <w:r>
        <w:separator/>
      </w:r>
    </w:p>
  </w:endnote>
  <w:endnote w:type="continuationSeparator" w:id="0">
    <w:p w:rsidR="00F034F0" w:rsidRDefault="00F034F0" w:rsidP="00C47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6797"/>
      <w:docPartObj>
        <w:docPartGallery w:val="Page Numbers (Bottom of Page)"/>
        <w:docPartUnique/>
      </w:docPartObj>
    </w:sdtPr>
    <w:sdtContent>
      <w:p w:rsidR="00C47051" w:rsidRDefault="00764871">
        <w:pPr>
          <w:pStyle w:val="Footer"/>
          <w:jc w:val="center"/>
        </w:pPr>
        <w:fldSimple w:instr=" PAGE   \* MERGEFORMAT ">
          <w:r w:rsidR="00EE6D03">
            <w:rPr>
              <w:noProof/>
            </w:rPr>
            <w:t>6</w:t>
          </w:r>
        </w:fldSimple>
      </w:p>
    </w:sdtContent>
  </w:sdt>
  <w:p w:rsidR="00C47051" w:rsidRDefault="00C470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4F0" w:rsidRDefault="00F034F0" w:rsidP="00C47051">
      <w:r>
        <w:separator/>
      </w:r>
    </w:p>
  </w:footnote>
  <w:footnote w:type="continuationSeparator" w:id="0">
    <w:p w:rsidR="00F034F0" w:rsidRDefault="00F034F0" w:rsidP="00C470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D6C1C"/>
    <w:multiLevelType w:val="hybridMultilevel"/>
    <w:tmpl w:val="7E32D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95466"/>
    <w:multiLevelType w:val="hybridMultilevel"/>
    <w:tmpl w:val="96362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9729B"/>
    <w:multiLevelType w:val="hybridMultilevel"/>
    <w:tmpl w:val="8BF24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05C4B"/>
    <w:rsid w:val="00061AF8"/>
    <w:rsid w:val="00180ECF"/>
    <w:rsid w:val="00300584"/>
    <w:rsid w:val="003F4F78"/>
    <w:rsid w:val="004267B7"/>
    <w:rsid w:val="004C371E"/>
    <w:rsid w:val="00616B20"/>
    <w:rsid w:val="00626612"/>
    <w:rsid w:val="00633FE9"/>
    <w:rsid w:val="0064507E"/>
    <w:rsid w:val="006C0647"/>
    <w:rsid w:val="00764871"/>
    <w:rsid w:val="007A5EAA"/>
    <w:rsid w:val="008720B7"/>
    <w:rsid w:val="009031AE"/>
    <w:rsid w:val="009118CD"/>
    <w:rsid w:val="00924CD0"/>
    <w:rsid w:val="00A10754"/>
    <w:rsid w:val="00A85BE1"/>
    <w:rsid w:val="00A95A37"/>
    <w:rsid w:val="00AB1C15"/>
    <w:rsid w:val="00B36BA9"/>
    <w:rsid w:val="00C47051"/>
    <w:rsid w:val="00D06F76"/>
    <w:rsid w:val="00D34D64"/>
    <w:rsid w:val="00D5606C"/>
    <w:rsid w:val="00DB09B3"/>
    <w:rsid w:val="00E05C4B"/>
    <w:rsid w:val="00EE6D03"/>
    <w:rsid w:val="00F026C0"/>
    <w:rsid w:val="00F03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C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C4B"/>
    <w:pPr>
      <w:spacing w:after="0" w:line="240" w:lineRule="auto"/>
    </w:pPr>
  </w:style>
  <w:style w:type="paragraph" w:styleId="ListParagraph">
    <w:name w:val="List Paragraph"/>
    <w:basedOn w:val="Normal"/>
    <w:uiPriority w:val="34"/>
    <w:qFormat/>
    <w:rsid w:val="009118CD"/>
    <w:pPr>
      <w:ind w:left="720"/>
      <w:contextualSpacing/>
    </w:pPr>
  </w:style>
  <w:style w:type="paragraph" w:styleId="Header">
    <w:name w:val="header"/>
    <w:basedOn w:val="Normal"/>
    <w:link w:val="HeaderChar"/>
    <w:uiPriority w:val="99"/>
    <w:semiHidden/>
    <w:unhideWhenUsed/>
    <w:rsid w:val="00C47051"/>
    <w:pPr>
      <w:tabs>
        <w:tab w:val="center" w:pos="4680"/>
        <w:tab w:val="right" w:pos="9360"/>
      </w:tabs>
    </w:pPr>
  </w:style>
  <w:style w:type="character" w:customStyle="1" w:styleId="HeaderChar">
    <w:name w:val="Header Char"/>
    <w:basedOn w:val="DefaultParagraphFont"/>
    <w:link w:val="Header"/>
    <w:uiPriority w:val="99"/>
    <w:semiHidden/>
    <w:rsid w:val="00C470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7051"/>
    <w:pPr>
      <w:tabs>
        <w:tab w:val="center" w:pos="4680"/>
        <w:tab w:val="right" w:pos="9360"/>
      </w:tabs>
    </w:pPr>
  </w:style>
  <w:style w:type="character" w:customStyle="1" w:styleId="FooterChar">
    <w:name w:val="Footer Char"/>
    <w:basedOn w:val="DefaultParagraphFont"/>
    <w:link w:val="Footer"/>
    <w:uiPriority w:val="99"/>
    <w:rsid w:val="00C4705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7051"/>
    <w:rPr>
      <w:rFonts w:ascii="Tahoma" w:hAnsi="Tahoma" w:cs="Tahoma"/>
      <w:sz w:val="16"/>
      <w:szCs w:val="16"/>
    </w:rPr>
  </w:style>
  <w:style w:type="character" w:customStyle="1" w:styleId="BalloonTextChar">
    <w:name w:val="Balloon Text Char"/>
    <w:basedOn w:val="DefaultParagraphFont"/>
    <w:link w:val="BalloonText"/>
    <w:uiPriority w:val="99"/>
    <w:semiHidden/>
    <w:rsid w:val="00C470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Frederick Defense Firm</Company>
  <LinksUpToDate>false</LinksUpToDate>
  <CharactersWithSpaces>11227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G. Frederick</dc:creator>
  <cp:lastModifiedBy>Bobby G. Frederick</cp:lastModifiedBy>
  <cp:revision>2</cp:revision>
  <cp:lastPrinted>2009-01-11T20:26:00Z</cp:lastPrinted>
  <dcterms:created xsi:type="dcterms:W3CDTF">2013-07-22T19:43:00Z</dcterms:created>
  <dcterms:modified xsi:type="dcterms:W3CDTF">2013-07-22T19:43:00Z</dcterms:modified>
</cp:coreProperties>
</file>