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508B" w:rsidRPr="00EC508B" w:rsidRDefault="00EC508B" w:rsidP="00EC508B">
      <w:pPr>
        <w:tabs>
          <w:tab w:val="left" w:pos="4170"/>
        </w:tabs>
        <w:rPr>
          <w:b/>
          <w:bCs/>
          <w:sz w:val="24"/>
          <w:szCs w:val="24"/>
        </w:rPr>
      </w:pPr>
      <w:r>
        <w:rPr>
          <w:b/>
          <w:bCs/>
          <w:sz w:val="24"/>
          <w:szCs w:val="24"/>
        </w:rPr>
        <w:t>STATE OF SOUTH CAROLINA</w:t>
      </w:r>
      <w:r>
        <w:rPr>
          <w:b/>
          <w:bCs/>
          <w:sz w:val="24"/>
          <w:szCs w:val="24"/>
        </w:rPr>
        <w:tab/>
        <w:t>)</w:t>
      </w:r>
      <w:r>
        <w:rPr>
          <w:b/>
          <w:bCs/>
          <w:sz w:val="24"/>
          <w:szCs w:val="24"/>
        </w:rPr>
        <w:tab/>
      </w:r>
      <w:r>
        <w:rPr>
          <w:b/>
          <w:bCs/>
          <w:sz w:val="24"/>
          <w:szCs w:val="24"/>
        </w:rPr>
        <w:tab/>
      </w:r>
      <w:r w:rsidRPr="00EC508B">
        <w:rPr>
          <w:b/>
          <w:bCs/>
          <w:sz w:val="24"/>
          <w:szCs w:val="24"/>
        </w:rPr>
        <w:t xml:space="preserve">IN THE MUNICIPAL COURT </w:t>
      </w:r>
    </w:p>
    <w:p w:rsidR="00EC508B" w:rsidRPr="00EC508B" w:rsidRDefault="00EC508B" w:rsidP="00EC508B">
      <w:pPr>
        <w:tabs>
          <w:tab w:val="left" w:pos="4170"/>
        </w:tabs>
        <w:rPr>
          <w:b/>
          <w:bCs/>
          <w:sz w:val="24"/>
          <w:szCs w:val="24"/>
        </w:rPr>
      </w:pPr>
      <w:r w:rsidRPr="00EC508B">
        <w:rPr>
          <w:b/>
          <w:bCs/>
          <w:sz w:val="24"/>
          <w:szCs w:val="24"/>
        </w:rPr>
        <w:tab/>
        <w:t>)</w:t>
      </w:r>
      <w:r w:rsidRPr="00EC508B">
        <w:rPr>
          <w:b/>
          <w:bCs/>
          <w:sz w:val="24"/>
          <w:szCs w:val="24"/>
        </w:rPr>
        <w:tab/>
      </w:r>
    </w:p>
    <w:p w:rsidR="00EC508B" w:rsidRPr="00EC508B" w:rsidRDefault="00EC508B" w:rsidP="00EC508B">
      <w:pPr>
        <w:tabs>
          <w:tab w:val="left" w:pos="4170"/>
        </w:tabs>
        <w:rPr>
          <w:b/>
          <w:bCs/>
          <w:sz w:val="24"/>
          <w:szCs w:val="24"/>
        </w:rPr>
      </w:pPr>
      <w:r w:rsidRPr="00EC508B">
        <w:rPr>
          <w:b/>
          <w:bCs/>
          <w:sz w:val="24"/>
          <w:szCs w:val="24"/>
        </w:rPr>
        <w:t>CITY OF N. MYRTLE BEACH</w:t>
      </w:r>
      <w:r w:rsidRPr="00EC508B">
        <w:rPr>
          <w:b/>
          <w:bCs/>
          <w:sz w:val="24"/>
          <w:szCs w:val="24"/>
        </w:rPr>
        <w:tab/>
        <w:t>)</w:t>
      </w:r>
      <w:r w:rsidRPr="00EC508B">
        <w:rPr>
          <w:b/>
          <w:bCs/>
          <w:sz w:val="24"/>
          <w:szCs w:val="24"/>
        </w:rPr>
        <w:tab/>
      </w:r>
    </w:p>
    <w:p w:rsidR="00EC508B" w:rsidRPr="00EC508B" w:rsidRDefault="00EC508B" w:rsidP="00EC508B">
      <w:pPr>
        <w:tabs>
          <w:tab w:val="left" w:pos="4170"/>
        </w:tabs>
        <w:rPr>
          <w:b/>
          <w:bCs/>
          <w:sz w:val="24"/>
          <w:szCs w:val="24"/>
        </w:rPr>
      </w:pPr>
      <w:r w:rsidRPr="00EC508B">
        <w:rPr>
          <w:b/>
          <w:bCs/>
          <w:sz w:val="24"/>
          <w:szCs w:val="24"/>
        </w:rPr>
        <w:tab/>
        <w:t>)</w:t>
      </w:r>
      <w:r w:rsidRPr="00EC508B">
        <w:rPr>
          <w:b/>
          <w:bCs/>
          <w:sz w:val="24"/>
          <w:szCs w:val="24"/>
        </w:rPr>
        <w:tab/>
      </w:r>
      <w:r>
        <w:rPr>
          <w:b/>
          <w:bCs/>
          <w:sz w:val="24"/>
          <w:szCs w:val="24"/>
        </w:rPr>
        <w:tab/>
        <w:t>Motion to Dismiss</w:t>
      </w:r>
    </w:p>
    <w:p w:rsidR="00EC508B" w:rsidRPr="00EC508B" w:rsidRDefault="00EC508B" w:rsidP="00EC508B">
      <w:pPr>
        <w:tabs>
          <w:tab w:val="left" w:pos="4170"/>
        </w:tabs>
        <w:rPr>
          <w:b/>
          <w:bCs/>
          <w:sz w:val="24"/>
          <w:szCs w:val="24"/>
        </w:rPr>
      </w:pPr>
      <w:r w:rsidRPr="00EC508B">
        <w:rPr>
          <w:b/>
          <w:bCs/>
          <w:sz w:val="24"/>
          <w:szCs w:val="24"/>
        </w:rPr>
        <w:t>STATE OF SOUTH CAROLINA</w:t>
      </w:r>
      <w:r w:rsidRPr="00EC508B">
        <w:rPr>
          <w:b/>
          <w:bCs/>
          <w:sz w:val="24"/>
          <w:szCs w:val="24"/>
        </w:rPr>
        <w:tab/>
        <w:t>)</w:t>
      </w:r>
      <w:r w:rsidRPr="00EC508B">
        <w:rPr>
          <w:b/>
          <w:bCs/>
          <w:sz w:val="24"/>
          <w:szCs w:val="24"/>
        </w:rPr>
        <w:tab/>
      </w:r>
    </w:p>
    <w:p w:rsidR="00EC508B" w:rsidRDefault="00EC508B" w:rsidP="00EC508B">
      <w:pPr>
        <w:tabs>
          <w:tab w:val="left" w:pos="4170"/>
        </w:tabs>
        <w:rPr>
          <w:b/>
          <w:bCs/>
          <w:sz w:val="24"/>
          <w:szCs w:val="24"/>
        </w:rPr>
      </w:pPr>
      <w:r>
        <w:rPr>
          <w:b/>
          <w:bCs/>
          <w:sz w:val="24"/>
          <w:szCs w:val="24"/>
        </w:rPr>
        <w:tab/>
      </w:r>
      <w:r w:rsidRPr="00EC508B">
        <w:rPr>
          <w:b/>
          <w:bCs/>
          <w:sz w:val="24"/>
          <w:szCs w:val="24"/>
        </w:rPr>
        <w:t>)</w:t>
      </w:r>
      <w:r w:rsidRPr="00EC508B">
        <w:rPr>
          <w:b/>
          <w:bCs/>
          <w:sz w:val="24"/>
          <w:szCs w:val="24"/>
        </w:rPr>
        <w:tab/>
        <w:t xml:space="preserve"> </w:t>
      </w:r>
    </w:p>
    <w:p w:rsidR="00EC508B" w:rsidRPr="00EC508B" w:rsidRDefault="00EC508B" w:rsidP="00EC508B">
      <w:pPr>
        <w:tabs>
          <w:tab w:val="left" w:pos="4170"/>
        </w:tabs>
        <w:rPr>
          <w:b/>
          <w:bCs/>
          <w:sz w:val="24"/>
          <w:szCs w:val="24"/>
        </w:rPr>
      </w:pPr>
      <w:proofErr w:type="gramStart"/>
      <w:r w:rsidRPr="00EC508B">
        <w:rPr>
          <w:b/>
          <w:bCs/>
          <w:sz w:val="24"/>
          <w:szCs w:val="24"/>
        </w:rPr>
        <w:t>v</w:t>
      </w:r>
      <w:proofErr w:type="gramEnd"/>
      <w:r w:rsidRPr="00EC508B">
        <w:rPr>
          <w:b/>
          <w:bCs/>
          <w:sz w:val="24"/>
          <w:szCs w:val="24"/>
        </w:rPr>
        <w:t>.</w:t>
      </w:r>
      <w:r w:rsidRPr="00EC508B">
        <w:rPr>
          <w:b/>
          <w:bCs/>
          <w:sz w:val="24"/>
          <w:szCs w:val="24"/>
        </w:rPr>
        <w:tab/>
        <w:t>)</w:t>
      </w:r>
      <w:r w:rsidRPr="00EC508B">
        <w:rPr>
          <w:b/>
          <w:bCs/>
          <w:sz w:val="24"/>
          <w:szCs w:val="24"/>
        </w:rPr>
        <w:tab/>
        <w:t xml:space="preserve"> </w:t>
      </w:r>
    </w:p>
    <w:p w:rsidR="00EC508B" w:rsidRPr="00EC508B" w:rsidRDefault="00EC508B" w:rsidP="00EC508B">
      <w:pPr>
        <w:tabs>
          <w:tab w:val="left" w:pos="4170"/>
        </w:tabs>
        <w:rPr>
          <w:b/>
          <w:bCs/>
          <w:sz w:val="24"/>
          <w:szCs w:val="24"/>
        </w:rPr>
      </w:pPr>
      <w:r w:rsidRPr="00EC508B">
        <w:rPr>
          <w:b/>
          <w:bCs/>
          <w:sz w:val="24"/>
          <w:szCs w:val="24"/>
        </w:rPr>
        <w:tab/>
        <w:t>)</w:t>
      </w:r>
      <w:r w:rsidRPr="00EC508B">
        <w:rPr>
          <w:b/>
          <w:bCs/>
          <w:sz w:val="24"/>
          <w:szCs w:val="24"/>
        </w:rPr>
        <w:tab/>
        <w:t xml:space="preserve">      </w:t>
      </w:r>
    </w:p>
    <w:p w:rsidR="00EC508B" w:rsidRPr="00EC508B" w:rsidRDefault="002C3541" w:rsidP="00EC508B">
      <w:pPr>
        <w:tabs>
          <w:tab w:val="left" w:pos="4170"/>
        </w:tabs>
        <w:rPr>
          <w:b/>
          <w:bCs/>
          <w:sz w:val="24"/>
          <w:szCs w:val="24"/>
        </w:rPr>
      </w:pPr>
      <w:proofErr w:type="spellStart"/>
      <w:r>
        <w:rPr>
          <w:b/>
          <w:bCs/>
          <w:sz w:val="24"/>
          <w:szCs w:val="24"/>
        </w:rPr>
        <w:t>Xxxx</w:t>
      </w:r>
      <w:proofErr w:type="spellEnd"/>
      <w:r w:rsidR="00EC508B" w:rsidRPr="00EC508B">
        <w:rPr>
          <w:b/>
          <w:bCs/>
          <w:sz w:val="24"/>
          <w:szCs w:val="24"/>
        </w:rPr>
        <w:t xml:space="preserve"> </w:t>
      </w:r>
      <w:proofErr w:type="spellStart"/>
      <w:r>
        <w:rPr>
          <w:b/>
          <w:bCs/>
          <w:sz w:val="24"/>
          <w:szCs w:val="24"/>
        </w:rPr>
        <w:t>Xxxx</w:t>
      </w:r>
      <w:proofErr w:type="spellEnd"/>
      <w:r w:rsidR="00EC508B" w:rsidRPr="00EC508B">
        <w:rPr>
          <w:b/>
          <w:bCs/>
          <w:sz w:val="24"/>
          <w:szCs w:val="24"/>
        </w:rPr>
        <w:t>,</w:t>
      </w:r>
      <w:r w:rsidR="00EC508B">
        <w:rPr>
          <w:b/>
          <w:bCs/>
          <w:sz w:val="24"/>
          <w:szCs w:val="24"/>
        </w:rPr>
        <w:t xml:space="preserve"> </w:t>
      </w:r>
      <w:r w:rsidR="00EC508B">
        <w:rPr>
          <w:b/>
          <w:bCs/>
          <w:sz w:val="24"/>
          <w:szCs w:val="24"/>
        </w:rPr>
        <w:tab/>
      </w:r>
      <w:r w:rsidR="00EC508B" w:rsidRPr="00EC508B">
        <w:rPr>
          <w:b/>
          <w:bCs/>
          <w:sz w:val="24"/>
          <w:szCs w:val="24"/>
        </w:rPr>
        <w:t>)</w:t>
      </w:r>
      <w:r w:rsidR="00EC508B" w:rsidRPr="00EC508B">
        <w:rPr>
          <w:b/>
          <w:bCs/>
          <w:sz w:val="24"/>
          <w:szCs w:val="24"/>
        </w:rPr>
        <w:tab/>
      </w:r>
      <w:r w:rsidR="00EC508B">
        <w:rPr>
          <w:b/>
          <w:bCs/>
          <w:sz w:val="24"/>
          <w:szCs w:val="24"/>
        </w:rPr>
        <w:tab/>
      </w:r>
      <w:r w:rsidR="00EC508B" w:rsidRPr="00EC508B">
        <w:rPr>
          <w:b/>
          <w:bCs/>
          <w:sz w:val="24"/>
          <w:szCs w:val="24"/>
        </w:rPr>
        <w:t>Ticket No.:  58043FK</w:t>
      </w:r>
    </w:p>
    <w:p w:rsidR="00EC508B" w:rsidRPr="00EC508B" w:rsidRDefault="00EC508B" w:rsidP="00EC508B">
      <w:pPr>
        <w:tabs>
          <w:tab w:val="left" w:pos="4170"/>
        </w:tabs>
        <w:rPr>
          <w:b/>
          <w:bCs/>
          <w:sz w:val="24"/>
          <w:szCs w:val="24"/>
        </w:rPr>
      </w:pPr>
      <w:r>
        <w:rPr>
          <w:b/>
          <w:bCs/>
          <w:sz w:val="24"/>
          <w:szCs w:val="24"/>
        </w:rPr>
        <w:tab/>
      </w:r>
      <w:r w:rsidRPr="00EC508B">
        <w:rPr>
          <w:b/>
          <w:bCs/>
          <w:sz w:val="24"/>
          <w:szCs w:val="24"/>
        </w:rPr>
        <w:t xml:space="preserve">)          </w:t>
      </w:r>
      <w:r w:rsidRPr="00EC508B">
        <w:rPr>
          <w:b/>
          <w:bCs/>
          <w:sz w:val="24"/>
          <w:szCs w:val="24"/>
        </w:rPr>
        <w:tab/>
        <w:t>Charge:  Fighting</w:t>
      </w:r>
    </w:p>
    <w:p w:rsidR="00EC508B" w:rsidRPr="00EC508B" w:rsidRDefault="00EC508B" w:rsidP="00EC508B">
      <w:pPr>
        <w:tabs>
          <w:tab w:val="left" w:pos="4170"/>
        </w:tabs>
        <w:rPr>
          <w:b/>
          <w:bCs/>
          <w:sz w:val="24"/>
          <w:szCs w:val="24"/>
        </w:rPr>
      </w:pPr>
      <w:r w:rsidRPr="00EC508B">
        <w:rPr>
          <w:b/>
          <w:bCs/>
          <w:sz w:val="24"/>
          <w:szCs w:val="24"/>
        </w:rPr>
        <w:t xml:space="preserve">                         </w:t>
      </w:r>
      <w:proofErr w:type="gramStart"/>
      <w:r w:rsidRPr="00EC508B">
        <w:rPr>
          <w:b/>
          <w:bCs/>
          <w:sz w:val="24"/>
          <w:szCs w:val="24"/>
        </w:rPr>
        <w:t>Defendant.</w:t>
      </w:r>
      <w:proofErr w:type="gramEnd"/>
      <w:r w:rsidRPr="00EC508B">
        <w:rPr>
          <w:b/>
          <w:bCs/>
          <w:sz w:val="24"/>
          <w:szCs w:val="24"/>
        </w:rPr>
        <w:t xml:space="preserve">      </w:t>
      </w:r>
      <w:r w:rsidRPr="00EC508B">
        <w:rPr>
          <w:b/>
          <w:bCs/>
          <w:sz w:val="24"/>
          <w:szCs w:val="24"/>
        </w:rPr>
        <w:tab/>
        <w:t>)</w:t>
      </w:r>
      <w:r w:rsidRPr="00EC508B">
        <w:rPr>
          <w:b/>
          <w:bCs/>
          <w:sz w:val="24"/>
          <w:szCs w:val="24"/>
        </w:rPr>
        <w:tab/>
      </w:r>
      <w:r w:rsidRPr="00EC508B">
        <w:rPr>
          <w:b/>
          <w:bCs/>
          <w:sz w:val="24"/>
          <w:szCs w:val="24"/>
        </w:rPr>
        <w:tab/>
        <w:t xml:space="preserve">   </w:t>
      </w:r>
    </w:p>
    <w:p w:rsidR="00EC508B" w:rsidRPr="00EC508B" w:rsidRDefault="00EC508B" w:rsidP="00EC508B">
      <w:pPr>
        <w:tabs>
          <w:tab w:val="left" w:pos="4170"/>
        </w:tabs>
        <w:rPr>
          <w:b/>
          <w:bCs/>
          <w:sz w:val="24"/>
          <w:szCs w:val="24"/>
        </w:rPr>
      </w:pPr>
      <w:r w:rsidRPr="00EC508B">
        <w:rPr>
          <w:b/>
          <w:bCs/>
          <w:sz w:val="24"/>
          <w:szCs w:val="24"/>
        </w:rPr>
        <w:t>________________________________</w:t>
      </w:r>
      <w:r>
        <w:rPr>
          <w:b/>
          <w:bCs/>
          <w:sz w:val="24"/>
          <w:szCs w:val="24"/>
        </w:rPr>
        <w:t>__</w:t>
      </w:r>
      <w:r w:rsidRPr="00EC508B">
        <w:rPr>
          <w:b/>
          <w:bCs/>
          <w:sz w:val="24"/>
          <w:szCs w:val="24"/>
        </w:rPr>
        <w:t xml:space="preserve"> )</w:t>
      </w:r>
      <w:r w:rsidRPr="00EC508B">
        <w:rPr>
          <w:b/>
          <w:bCs/>
          <w:sz w:val="24"/>
          <w:szCs w:val="24"/>
        </w:rPr>
        <w:tab/>
      </w:r>
    </w:p>
    <w:p w:rsidR="007555D4" w:rsidRDefault="007555D4" w:rsidP="007555D4">
      <w:pPr>
        <w:tabs>
          <w:tab w:val="left" w:pos="4170"/>
        </w:tabs>
        <w:rPr>
          <w:sz w:val="24"/>
          <w:szCs w:val="24"/>
        </w:rPr>
      </w:pPr>
    </w:p>
    <w:p w:rsidR="00EC508B" w:rsidRDefault="00EC508B" w:rsidP="00525E2B">
      <w:pPr>
        <w:tabs>
          <w:tab w:val="left" w:pos="4170"/>
        </w:tabs>
        <w:spacing w:line="480" w:lineRule="auto"/>
        <w:rPr>
          <w:sz w:val="24"/>
          <w:szCs w:val="24"/>
        </w:rPr>
      </w:pPr>
    </w:p>
    <w:p w:rsidR="00FB7DEF" w:rsidRDefault="00EC508B" w:rsidP="00525E2B">
      <w:pPr>
        <w:tabs>
          <w:tab w:val="left" w:pos="4170"/>
        </w:tabs>
        <w:spacing w:line="480" w:lineRule="auto"/>
        <w:rPr>
          <w:sz w:val="24"/>
          <w:szCs w:val="24"/>
        </w:rPr>
      </w:pPr>
      <w:r>
        <w:rPr>
          <w:sz w:val="24"/>
          <w:szCs w:val="24"/>
        </w:rPr>
        <w:t xml:space="preserve">         The Defendant moves to dismiss the charges of Fighting, Sec. 16-10 of the North Myrtle Beach municipal code, on the grounds that the ordinance is unconstitutional because it criminalizes conduct not otherwise criminal under state law.  Code sec. 16-10 provides, in relevant part, that “. . . it shall be unlawful for any person to engage or offer to engage by challenge or otherwise in mutual combat.”</w:t>
      </w:r>
      <w:r w:rsidR="00FB7DEF">
        <w:rPr>
          <w:sz w:val="24"/>
          <w:szCs w:val="24"/>
        </w:rPr>
        <w:t xml:space="preserve">  </w:t>
      </w:r>
      <w:r>
        <w:rPr>
          <w:sz w:val="24"/>
          <w:szCs w:val="24"/>
        </w:rPr>
        <w:t xml:space="preserve">“Mutual combat” is not a criminal offense under state law; in fact, it can be a complete defense in some circumstances.  </w:t>
      </w:r>
    </w:p>
    <w:p w:rsidR="00FB7DEF" w:rsidRDefault="00FB7DEF" w:rsidP="00525E2B">
      <w:pPr>
        <w:tabs>
          <w:tab w:val="left" w:pos="4170"/>
        </w:tabs>
        <w:spacing w:line="480" w:lineRule="auto"/>
        <w:rPr>
          <w:sz w:val="24"/>
          <w:szCs w:val="24"/>
        </w:rPr>
      </w:pPr>
    </w:p>
    <w:p w:rsidR="00525E2B" w:rsidRPr="00525E2B" w:rsidRDefault="00525E2B" w:rsidP="00525E2B">
      <w:pPr>
        <w:tabs>
          <w:tab w:val="left" w:pos="4170"/>
        </w:tabs>
        <w:spacing w:line="480" w:lineRule="auto"/>
        <w:rPr>
          <w:sz w:val="24"/>
          <w:szCs w:val="24"/>
        </w:rPr>
      </w:pPr>
      <w:r w:rsidRPr="00525E2B">
        <w:rPr>
          <w:sz w:val="24"/>
          <w:szCs w:val="24"/>
        </w:rPr>
        <w:t>Article VIII § 14(5) of our South Carolina Constitution provides, that:</w:t>
      </w:r>
    </w:p>
    <w:p w:rsidR="00525E2B" w:rsidRPr="00525E2B" w:rsidRDefault="00525E2B" w:rsidP="00525E2B">
      <w:pPr>
        <w:tabs>
          <w:tab w:val="left" w:pos="4170"/>
        </w:tabs>
        <w:spacing w:line="480" w:lineRule="auto"/>
        <w:ind w:left="720"/>
        <w:rPr>
          <w:sz w:val="24"/>
          <w:szCs w:val="24"/>
        </w:rPr>
      </w:pPr>
      <w:r w:rsidRPr="00525E2B">
        <w:rPr>
          <w:sz w:val="24"/>
          <w:szCs w:val="24"/>
        </w:rPr>
        <w:t xml:space="preserve">In enacting provisions required or authorized by this article, general law provisions applicable to the following matters shall not be set aside: . . . criminal laws and the penalties and sanctions for the transgression thereof . . .. </w:t>
      </w:r>
    </w:p>
    <w:p w:rsidR="00525E2B" w:rsidRDefault="00525E2B" w:rsidP="00525E2B">
      <w:pPr>
        <w:tabs>
          <w:tab w:val="left" w:pos="4170"/>
        </w:tabs>
        <w:spacing w:line="480" w:lineRule="auto"/>
        <w:rPr>
          <w:sz w:val="24"/>
          <w:szCs w:val="24"/>
        </w:rPr>
      </w:pPr>
    </w:p>
    <w:p w:rsidR="007555D4" w:rsidRDefault="00FB7DEF" w:rsidP="00525E2B">
      <w:pPr>
        <w:tabs>
          <w:tab w:val="left" w:pos="4170"/>
        </w:tabs>
        <w:spacing w:line="480" w:lineRule="auto"/>
        <w:rPr>
          <w:sz w:val="24"/>
          <w:szCs w:val="24"/>
        </w:rPr>
      </w:pPr>
      <w:r>
        <w:rPr>
          <w:sz w:val="24"/>
          <w:szCs w:val="24"/>
        </w:rPr>
        <w:t xml:space="preserve">     </w:t>
      </w:r>
      <w:r w:rsidR="00525E2B" w:rsidRPr="00525E2B">
        <w:rPr>
          <w:sz w:val="24"/>
          <w:szCs w:val="24"/>
        </w:rPr>
        <w:t>This provision of our Constitution has been held to require uniformity in the scope and application of the criminal laws and penalties within and across the State of South Carolina.</w:t>
      </w:r>
      <w:r w:rsidR="00525E2B" w:rsidRPr="00525E2B">
        <w:rPr>
          <w:sz w:val="24"/>
          <w:szCs w:val="24"/>
          <w:vertAlign w:val="superscript"/>
        </w:rPr>
        <w:footnoteReference w:id="1"/>
      </w:r>
      <w:r w:rsidR="00525E2B" w:rsidRPr="00525E2B">
        <w:rPr>
          <w:sz w:val="24"/>
          <w:szCs w:val="24"/>
        </w:rPr>
        <w:t xml:space="preserve">  </w:t>
      </w:r>
      <w:r w:rsidR="00525E2B" w:rsidRPr="00525E2B">
        <w:rPr>
          <w:sz w:val="24"/>
          <w:szCs w:val="24"/>
        </w:rPr>
        <w:lastRenderedPageBreak/>
        <w:t>Hence, local governmental entities may not set aside general provisions of criminal law enacted by the legislature.</w:t>
      </w:r>
      <w:r w:rsidR="00525E2B" w:rsidRPr="00525E2B">
        <w:rPr>
          <w:sz w:val="24"/>
          <w:szCs w:val="24"/>
          <w:vertAlign w:val="superscript"/>
        </w:rPr>
        <w:footnoteReference w:id="2"/>
      </w:r>
      <w:r w:rsidR="00525E2B" w:rsidRPr="00525E2B">
        <w:rPr>
          <w:sz w:val="24"/>
          <w:szCs w:val="24"/>
        </w:rPr>
        <w:t xml:space="preserve">  Nor may local governmental entities criminalize conduct that is legal under a statewide criminal law.</w:t>
      </w:r>
      <w:r w:rsidR="00525E2B" w:rsidRPr="00525E2B">
        <w:rPr>
          <w:sz w:val="24"/>
          <w:szCs w:val="24"/>
          <w:vertAlign w:val="superscript"/>
        </w:rPr>
        <w:footnoteReference w:id="3"/>
      </w:r>
      <w:r w:rsidR="00525E2B" w:rsidRPr="00525E2B">
        <w:rPr>
          <w:sz w:val="24"/>
          <w:szCs w:val="24"/>
        </w:rPr>
        <w:t xml:space="preserve">   </w:t>
      </w:r>
    </w:p>
    <w:p w:rsidR="00EC508B" w:rsidRPr="00EC508B" w:rsidRDefault="00EC508B" w:rsidP="00EC508B">
      <w:pPr>
        <w:tabs>
          <w:tab w:val="left" w:pos="4170"/>
        </w:tabs>
        <w:spacing w:line="480" w:lineRule="auto"/>
        <w:rPr>
          <w:sz w:val="24"/>
          <w:szCs w:val="24"/>
        </w:rPr>
      </w:pPr>
      <w:r>
        <w:rPr>
          <w:sz w:val="24"/>
          <w:szCs w:val="24"/>
        </w:rPr>
        <w:t xml:space="preserve">          T</w:t>
      </w:r>
      <w:r w:rsidRPr="00EC508B">
        <w:rPr>
          <w:sz w:val="24"/>
          <w:szCs w:val="24"/>
        </w:rPr>
        <w:t>he</w:t>
      </w:r>
      <w:r>
        <w:rPr>
          <w:sz w:val="24"/>
          <w:szCs w:val="24"/>
        </w:rPr>
        <w:t xml:space="preserve"> North Myrtle Beach</w:t>
      </w:r>
      <w:r w:rsidRPr="00EC508B">
        <w:rPr>
          <w:sz w:val="24"/>
          <w:szCs w:val="24"/>
        </w:rPr>
        <w:t xml:space="preserve"> ordinance violates the uniformity requirement of the state constitution in that it purports to render illegal locally that which is legal under state law; and also,</w:t>
      </w:r>
      <w:r>
        <w:rPr>
          <w:sz w:val="24"/>
          <w:szCs w:val="24"/>
        </w:rPr>
        <w:t xml:space="preserve"> on the ground the ordinance is</w:t>
      </w:r>
      <w:r w:rsidRPr="00EC508B">
        <w:rPr>
          <w:sz w:val="24"/>
          <w:szCs w:val="24"/>
        </w:rPr>
        <w:t xml:space="preserve"> unconstitutionally vague and overbroad, and that </w:t>
      </w:r>
      <w:r>
        <w:rPr>
          <w:sz w:val="24"/>
          <w:szCs w:val="24"/>
        </w:rPr>
        <w:t xml:space="preserve">prosecution </w:t>
      </w:r>
      <w:r w:rsidRPr="00EC508B">
        <w:rPr>
          <w:sz w:val="24"/>
          <w:szCs w:val="24"/>
        </w:rPr>
        <w:t>for a violation of the ordinance would contravene his “due process” guarantees under the constitutions of both the United States and the State of South Carolina.</w:t>
      </w:r>
      <w:r w:rsidRPr="00EC508B">
        <w:rPr>
          <w:sz w:val="24"/>
          <w:szCs w:val="24"/>
          <w:vertAlign w:val="superscript"/>
        </w:rPr>
        <w:footnoteReference w:id="4"/>
      </w:r>
      <w:r w:rsidRPr="00EC508B">
        <w:rPr>
          <w:sz w:val="24"/>
          <w:szCs w:val="24"/>
        </w:rPr>
        <w:t xml:space="preserve"> </w:t>
      </w:r>
    </w:p>
    <w:p w:rsidR="00EC508B" w:rsidRPr="007555D4" w:rsidRDefault="00EC508B" w:rsidP="00525E2B">
      <w:pPr>
        <w:tabs>
          <w:tab w:val="left" w:pos="4170"/>
        </w:tabs>
        <w:spacing w:line="480" w:lineRule="auto"/>
        <w:rPr>
          <w:sz w:val="24"/>
          <w:szCs w:val="24"/>
        </w:rPr>
      </w:pPr>
    </w:p>
    <w:sectPr w:rsidR="00EC508B" w:rsidRPr="007555D4" w:rsidSect="00B3253E">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59F3" w:rsidRDefault="009D59F3" w:rsidP="00525E2B">
      <w:r>
        <w:separator/>
      </w:r>
    </w:p>
  </w:endnote>
  <w:endnote w:type="continuationSeparator" w:id="0">
    <w:p w:rsidR="009D59F3" w:rsidRDefault="009D59F3" w:rsidP="00525E2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hruti">
    <w:panose1 w:val="020B0502040204020203"/>
    <w:charset w:val="01"/>
    <w:family w:val="roman"/>
    <w:notTrueType/>
    <w:pitch w:val="variable"/>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59F3" w:rsidRDefault="009D59F3" w:rsidP="00525E2B">
      <w:r>
        <w:separator/>
      </w:r>
    </w:p>
  </w:footnote>
  <w:footnote w:type="continuationSeparator" w:id="0">
    <w:p w:rsidR="009D59F3" w:rsidRDefault="009D59F3" w:rsidP="00525E2B">
      <w:r>
        <w:continuationSeparator/>
      </w:r>
    </w:p>
  </w:footnote>
  <w:footnote w:id="1">
    <w:p w:rsidR="00EC508B" w:rsidRDefault="00EC508B" w:rsidP="00525E2B">
      <w:pPr>
        <w:spacing w:after="240"/>
        <w:ind w:firstLine="720"/>
        <w:jc w:val="both"/>
        <w:rPr>
          <w:rFonts w:cs="Shruti"/>
        </w:rPr>
      </w:pPr>
      <w:r>
        <w:rPr>
          <w:rStyle w:val="FootnoteReference"/>
          <w:rFonts w:cs="Shruti"/>
          <w:vertAlign w:val="superscript"/>
        </w:rPr>
        <w:footnoteRef/>
      </w:r>
      <w:r>
        <w:rPr>
          <w:rFonts w:cs="Shruti"/>
        </w:rPr>
        <w:t xml:space="preserve">  </w:t>
      </w:r>
      <w:r>
        <w:rPr>
          <w:rFonts w:cs="Shruti"/>
          <w:i/>
          <w:iCs/>
        </w:rPr>
        <w:t>Jimmy L. Martin, Sr. v. Charles Condon</w:t>
      </w:r>
      <w:r>
        <w:rPr>
          <w:rFonts w:cs="Shruti"/>
        </w:rPr>
        <w:t>, 324 S.C. 183; 478 S.E.2d 272 (1996) (Constitution requires statewide uniformity of general law provisions regarding criminal laws).</w:t>
      </w:r>
    </w:p>
  </w:footnote>
  <w:footnote w:id="2">
    <w:p w:rsidR="00EC508B" w:rsidRDefault="00EC508B" w:rsidP="00525E2B">
      <w:pPr>
        <w:spacing w:after="240"/>
        <w:ind w:firstLine="720"/>
        <w:jc w:val="both"/>
        <w:rPr>
          <w:rFonts w:cs="Shruti"/>
        </w:rPr>
      </w:pPr>
      <w:r>
        <w:rPr>
          <w:rStyle w:val="FootnoteReference"/>
          <w:rFonts w:cs="Shruti"/>
          <w:vertAlign w:val="superscript"/>
        </w:rPr>
        <w:footnoteRef/>
      </w:r>
      <w:r>
        <w:rPr>
          <w:rFonts w:cs="Shruti"/>
        </w:rPr>
        <w:t xml:space="preserve">  </w:t>
      </w:r>
      <w:r>
        <w:rPr>
          <w:rFonts w:cs="Shruti"/>
          <w:i/>
          <w:iCs/>
        </w:rPr>
        <w:t>City of North Charleston v. Harper</w:t>
      </w:r>
      <w:r>
        <w:rPr>
          <w:rFonts w:cs="Shruti"/>
        </w:rPr>
        <w:t>, 306 S.C. 153, 410 S.E.2d 569 (1991</w:t>
      </w:r>
      <w:proofErr w:type="gramStart"/>
      <w:r>
        <w:rPr>
          <w:rFonts w:cs="Shruti"/>
        </w:rPr>
        <w:t>)(</w:t>
      </w:r>
      <w:proofErr w:type="gramEnd"/>
      <w:r>
        <w:rPr>
          <w:rFonts w:cs="Shruti"/>
        </w:rPr>
        <w:t>local government cannot impose different penalties for possession of marijuana than those established under State law).</w:t>
      </w:r>
    </w:p>
  </w:footnote>
  <w:footnote w:id="3">
    <w:p w:rsidR="00EC508B" w:rsidRDefault="00EC508B" w:rsidP="00525E2B">
      <w:pPr>
        <w:ind w:firstLine="720"/>
        <w:jc w:val="both"/>
        <w:rPr>
          <w:rFonts w:cs="Shruti"/>
        </w:rPr>
      </w:pPr>
      <w:r>
        <w:rPr>
          <w:rStyle w:val="FootnoteReference"/>
          <w:rFonts w:cs="Shruti"/>
          <w:vertAlign w:val="superscript"/>
        </w:rPr>
        <w:footnoteRef/>
      </w:r>
      <w:r>
        <w:rPr>
          <w:rFonts w:cs="Shruti"/>
        </w:rPr>
        <w:t xml:space="preserve">  </w:t>
      </w:r>
      <w:r>
        <w:rPr>
          <w:rFonts w:cs="Shruti"/>
          <w:i/>
          <w:iCs/>
        </w:rPr>
        <w:t>Connor v. Town of Hilton Head Island</w:t>
      </w:r>
      <w:r>
        <w:rPr>
          <w:rFonts w:cs="Shruti"/>
        </w:rPr>
        <w:t xml:space="preserve">, 314 S.C. 251, 442 S.E.2d 608 (1994) (municipality cannot criminalize nude dancing where relevant state law does not).  </w:t>
      </w:r>
      <w:r>
        <w:rPr>
          <w:rFonts w:cs="Shruti"/>
          <w:i/>
          <w:iCs/>
        </w:rPr>
        <w:t>Diamonds v. Greenville County</w:t>
      </w:r>
      <w:r>
        <w:rPr>
          <w:rFonts w:cs="Shruti"/>
        </w:rPr>
        <w:t>, 325 S.C. 154; 480 S.E.2d 718 (1997) (county may not enact a general ban on public nudity when state law does not make such conduct unlawful).</w:t>
      </w:r>
    </w:p>
    <w:p w:rsidR="00EC508B" w:rsidRDefault="00EC508B" w:rsidP="00525E2B">
      <w:pPr>
        <w:jc w:val="both"/>
        <w:rPr>
          <w:rFonts w:cs="Shruti"/>
        </w:rPr>
      </w:pPr>
    </w:p>
    <w:p w:rsidR="00EC508B" w:rsidRDefault="00EC508B" w:rsidP="00525E2B">
      <w:pPr>
        <w:spacing w:after="240"/>
        <w:jc w:val="both"/>
        <w:rPr>
          <w:rFonts w:cs="Shruti"/>
        </w:rPr>
      </w:pPr>
    </w:p>
  </w:footnote>
  <w:footnote w:id="4">
    <w:p w:rsidR="00EC508B" w:rsidRDefault="00EC508B" w:rsidP="00EC508B">
      <w:pPr>
        <w:ind w:firstLine="720"/>
        <w:jc w:val="both"/>
      </w:pPr>
      <w:r>
        <w:rPr>
          <w:rStyle w:val="FootnoteReference"/>
          <w:rFonts w:cs="Shruti"/>
          <w:vertAlign w:val="superscript"/>
        </w:rPr>
        <w:footnoteRef/>
      </w:r>
      <w:r>
        <w:rPr>
          <w:rFonts w:cs="Shruti"/>
        </w:rPr>
        <w:t xml:space="preserve">  “</w:t>
      </w:r>
      <w:r>
        <w:t xml:space="preserve">No state shall make or enforce any law which shall abridge the privileges or immunities of citizens of the United States; nor shall any state deprive any person of life liberty, or property, without due process of law, nor deny to any person within its jurisdiction the equal protection of the laws.”   </w:t>
      </w:r>
      <w:r>
        <w:rPr>
          <w:rFonts w:ascii="Arial" w:hAnsi="Arial" w:cs="Arial"/>
          <w:b/>
          <w:bCs/>
        </w:rPr>
        <w:t>U.S. Const.</w:t>
      </w:r>
      <w:proofErr w:type="gramStart"/>
      <w:r>
        <w:rPr>
          <w:rFonts w:ascii="Arial" w:hAnsi="Arial" w:cs="Arial"/>
          <w:b/>
          <w:bCs/>
        </w:rPr>
        <w:t>,  Amend</w:t>
      </w:r>
      <w:proofErr w:type="gramEnd"/>
      <w:r>
        <w:rPr>
          <w:rFonts w:ascii="Arial" w:hAnsi="Arial" w:cs="Arial"/>
          <w:b/>
          <w:bCs/>
        </w:rPr>
        <w:t xml:space="preserve">. </w:t>
      </w:r>
      <w:proofErr w:type="gramStart"/>
      <w:r>
        <w:rPr>
          <w:rFonts w:ascii="Arial" w:hAnsi="Arial" w:cs="Arial"/>
          <w:b/>
          <w:bCs/>
        </w:rPr>
        <w:t>XIV.</w:t>
      </w:r>
      <w:proofErr w:type="gramEnd"/>
    </w:p>
    <w:p w:rsidR="00EC508B" w:rsidRDefault="00EC508B" w:rsidP="00EC508B">
      <w:pPr>
        <w:spacing w:line="120" w:lineRule="auto"/>
        <w:jc w:val="both"/>
      </w:pPr>
    </w:p>
    <w:p w:rsidR="00EC508B" w:rsidRDefault="00EC508B" w:rsidP="00EC508B">
      <w:pPr>
        <w:jc w:val="both"/>
      </w:pPr>
      <w:r>
        <w:t xml:space="preserve">“The privileges and immunities of citizens of this State and of the United States under this Constitution shall not be abridged, nor shall any person be deprived of life, liberty, or property without due process of law, nor shall any person be denied the equal protection of the laws.” </w:t>
      </w:r>
      <w:r>
        <w:rPr>
          <w:rFonts w:ascii="Arial" w:hAnsi="Arial" w:cs="Arial"/>
          <w:b/>
          <w:bCs/>
        </w:rPr>
        <w:t>SC Const.</w:t>
      </w:r>
      <w:proofErr w:type="gramStart"/>
      <w:r>
        <w:rPr>
          <w:rFonts w:ascii="Arial" w:hAnsi="Arial" w:cs="Arial"/>
          <w:b/>
          <w:bCs/>
        </w:rPr>
        <w:t>,  Art</w:t>
      </w:r>
      <w:proofErr w:type="gramEnd"/>
      <w:r>
        <w:rPr>
          <w:rFonts w:ascii="Arial" w:hAnsi="Arial" w:cs="Arial"/>
          <w:b/>
          <w:bCs/>
        </w:rPr>
        <w:t xml:space="preserve">. </w:t>
      </w:r>
      <w:proofErr w:type="gramStart"/>
      <w:r>
        <w:rPr>
          <w:rFonts w:ascii="Arial" w:hAnsi="Arial" w:cs="Arial"/>
          <w:b/>
          <w:bCs/>
        </w:rPr>
        <w:t>I, Sec. 3.</w:t>
      </w:r>
      <w:proofErr w:type="gramEnd"/>
    </w:p>
    <w:p w:rsidR="00EC508B" w:rsidRDefault="00EC508B" w:rsidP="00EC508B">
      <w:pPr>
        <w:spacing w:after="240"/>
        <w:jc w:val="both"/>
      </w:pP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4098"/>
  </w:hdrShapeDefaults>
  <w:footnotePr>
    <w:footnote w:id="-1"/>
    <w:footnote w:id="0"/>
  </w:footnotePr>
  <w:endnotePr>
    <w:endnote w:id="-1"/>
    <w:endnote w:id="0"/>
  </w:endnotePr>
  <w:compat/>
  <w:rsids>
    <w:rsidRoot w:val="007555D4"/>
    <w:rsid w:val="002C3541"/>
    <w:rsid w:val="0049548D"/>
    <w:rsid w:val="00525E2B"/>
    <w:rsid w:val="00621CD7"/>
    <w:rsid w:val="007555D4"/>
    <w:rsid w:val="009D59F3"/>
    <w:rsid w:val="00B3253E"/>
    <w:rsid w:val="00EC508B"/>
    <w:rsid w:val="00FB7DEF"/>
    <w:rsid w:val="00FE360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5D4"/>
    <w:pPr>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525E2B"/>
  </w:style>
  <w:style w:type="paragraph" w:styleId="Header">
    <w:name w:val="header"/>
    <w:basedOn w:val="Normal"/>
    <w:link w:val="HeaderChar"/>
    <w:uiPriority w:val="99"/>
    <w:semiHidden/>
    <w:unhideWhenUsed/>
    <w:rsid w:val="00525E2B"/>
    <w:pPr>
      <w:tabs>
        <w:tab w:val="center" w:pos="4680"/>
        <w:tab w:val="right" w:pos="9360"/>
      </w:tabs>
    </w:pPr>
  </w:style>
  <w:style w:type="character" w:customStyle="1" w:styleId="HeaderChar">
    <w:name w:val="Header Char"/>
    <w:basedOn w:val="DefaultParagraphFont"/>
    <w:link w:val="Header"/>
    <w:uiPriority w:val="99"/>
    <w:semiHidden/>
    <w:rsid w:val="00525E2B"/>
    <w:rPr>
      <w:rFonts w:ascii="Times New Roman" w:eastAsia="Times New Roman" w:hAnsi="Times New Roman" w:cs="Times New Roman"/>
      <w:sz w:val="20"/>
      <w:szCs w:val="20"/>
    </w:rPr>
  </w:style>
  <w:style w:type="paragraph" w:styleId="Footer">
    <w:name w:val="footer"/>
    <w:basedOn w:val="Normal"/>
    <w:link w:val="FooterChar"/>
    <w:uiPriority w:val="99"/>
    <w:semiHidden/>
    <w:unhideWhenUsed/>
    <w:rsid w:val="00525E2B"/>
    <w:pPr>
      <w:tabs>
        <w:tab w:val="center" w:pos="4680"/>
        <w:tab w:val="right" w:pos="9360"/>
      </w:tabs>
    </w:pPr>
  </w:style>
  <w:style w:type="character" w:customStyle="1" w:styleId="FooterChar">
    <w:name w:val="Footer Char"/>
    <w:basedOn w:val="DefaultParagraphFont"/>
    <w:link w:val="Footer"/>
    <w:uiPriority w:val="99"/>
    <w:semiHidden/>
    <w:rsid w:val="00525E2B"/>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301</Words>
  <Characters>1720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Bobby G. Frederick</dc:creator>
  <cp:lastModifiedBy>Bobby G. Frederick</cp:lastModifiedBy>
  <cp:revision>4</cp:revision>
  <cp:lastPrinted>2012-01-25T15:57:00Z</cp:lastPrinted>
  <dcterms:created xsi:type="dcterms:W3CDTF">2012-07-26T14:01:00Z</dcterms:created>
  <dcterms:modified xsi:type="dcterms:W3CDTF">2013-07-22T21:32:00Z</dcterms:modified>
</cp:coreProperties>
</file>